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22" w:rsidRDefault="00A93B22" w:rsidP="00A93B2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A93B22" w:rsidRDefault="00A93B22" w:rsidP="00A93B2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C9343D" w:rsidRPr="00A93B22" w:rsidRDefault="003F5BDA" w:rsidP="00A93B2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DE">
        <w:rPr>
          <w:rFonts w:ascii="Times New Roman" w:hAnsi="Times New Roman" w:cs="Times New Roman"/>
          <w:sz w:val="28"/>
          <w:szCs w:val="28"/>
        </w:rPr>
        <w:t>«О муниципальной про</w:t>
      </w:r>
      <w:r w:rsidR="00611433" w:rsidRPr="002346DE">
        <w:rPr>
          <w:rFonts w:ascii="Times New Roman" w:hAnsi="Times New Roman" w:cs="Times New Roman"/>
          <w:sz w:val="28"/>
          <w:szCs w:val="28"/>
        </w:rPr>
        <w:t>грамме Ханты-Мансийского района</w:t>
      </w:r>
    </w:p>
    <w:p w:rsidR="00F1229E" w:rsidRPr="002346DE" w:rsidRDefault="00EA6563" w:rsidP="006B04A6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«</w:t>
      </w:r>
      <w:r w:rsidR="00F1229E" w:rsidRPr="002346DE">
        <w:rPr>
          <w:rFonts w:ascii="Times New Roman" w:hAnsi="Times New Roman" w:cs="Times New Roman"/>
          <w:sz w:val="28"/>
          <w:szCs w:val="28"/>
        </w:rPr>
        <w:t xml:space="preserve">Устойчивое развитие коренных малочисленных народов Севера </w:t>
      </w:r>
    </w:p>
    <w:p w:rsidR="00C9343D" w:rsidRPr="002346DE" w:rsidRDefault="006D4647" w:rsidP="006B04A6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Ханты-М</w:t>
      </w:r>
      <w:r w:rsidR="00F1229E" w:rsidRPr="002346DE">
        <w:rPr>
          <w:rFonts w:ascii="Times New Roman" w:hAnsi="Times New Roman" w:cs="Times New Roman"/>
          <w:sz w:val="28"/>
          <w:szCs w:val="28"/>
        </w:rPr>
        <w:t>ансийского района на 2021-2023 годы</w:t>
      </w:r>
      <w:r w:rsidR="00EA6563" w:rsidRPr="002346DE">
        <w:rPr>
          <w:rFonts w:ascii="Times New Roman" w:hAnsi="Times New Roman" w:cs="Times New Roman"/>
          <w:sz w:val="28"/>
          <w:szCs w:val="28"/>
        </w:rPr>
        <w:t>»</w:t>
      </w:r>
    </w:p>
    <w:p w:rsidR="00C9343D" w:rsidRPr="002346DE" w:rsidRDefault="00C9343D" w:rsidP="003D34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B9B" w:rsidRPr="002346DE" w:rsidRDefault="00772A4A" w:rsidP="00A93B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4101" w:rsidRPr="002346DE">
        <w:rPr>
          <w:rFonts w:ascii="Times New Roman" w:hAnsi="Times New Roman" w:cs="Times New Roman"/>
          <w:sz w:val="28"/>
          <w:szCs w:val="28"/>
        </w:rPr>
        <w:t xml:space="preserve">Проект программы предлагается к утверждению </w:t>
      </w:r>
      <w:r w:rsidR="00351C51" w:rsidRPr="002346DE">
        <w:rPr>
          <w:rFonts w:ascii="Times New Roman" w:hAnsi="Times New Roman" w:cs="Times New Roman"/>
          <w:sz w:val="28"/>
          <w:szCs w:val="28"/>
        </w:rPr>
        <w:t xml:space="preserve">в целях осуществления переданного отдельного государственного полномочия, </w:t>
      </w:r>
      <w:r w:rsidR="00996C8E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351C51" w:rsidRPr="002346DE">
        <w:rPr>
          <w:rFonts w:ascii="Times New Roman" w:hAnsi="Times New Roman" w:cs="Times New Roman"/>
          <w:sz w:val="28"/>
          <w:szCs w:val="28"/>
        </w:rPr>
        <w:t>пункт</w:t>
      </w:r>
      <w:r w:rsidR="00996C8E">
        <w:rPr>
          <w:rFonts w:ascii="Times New Roman" w:hAnsi="Times New Roman" w:cs="Times New Roman"/>
          <w:sz w:val="28"/>
          <w:szCs w:val="28"/>
        </w:rPr>
        <w:t>ом</w:t>
      </w:r>
      <w:r w:rsidR="00351C51" w:rsidRPr="002346DE">
        <w:rPr>
          <w:rFonts w:ascii="Times New Roman" w:hAnsi="Times New Roman" w:cs="Times New Roman"/>
          <w:sz w:val="28"/>
          <w:szCs w:val="28"/>
        </w:rPr>
        <w:t xml:space="preserve"> 2 статьи 2 Закона автономного округа </w:t>
      </w:r>
      <w:r w:rsidR="00996C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51C51" w:rsidRPr="002346DE">
        <w:rPr>
          <w:rFonts w:ascii="Times New Roman" w:hAnsi="Times New Roman" w:cs="Times New Roman"/>
          <w:sz w:val="28"/>
          <w:szCs w:val="28"/>
        </w:rPr>
        <w:t>от 31.01.2011 №</w:t>
      </w:r>
      <w:r w:rsidR="00996C8E">
        <w:rPr>
          <w:rFonts w:ascii="Times New Roman" w:hAnsi="Times New Roman" w:cs="Times New Roman"/>
          <w:sz w:val="28"/>
          <w:szCs w:val="28"/>
        </w:rPr>
        <w:t xml:space="preserve"> </w:t>
      </w:r>
      <w:r w:rsidR="00351C51" w:rsidRPr="002346DE">
        <w:rPr>
          <w:rFonts w:ascii="Times New Roman" w:hAnsi="Times New Roman" w:cs="Times New Roman"/>
          <w:sz w:val="28"/>
          <w:szCs w:val="28"/>
        </w:rPr>
        <w:t>8-оз «О наделении органов местного самоуправления муниципальных образований Ханты-Мансийского автономного окру</w:t>
      </w:r>
      <w:r w:rsidR="00996C8E">
        <w:rPr>
          <w:rFonts w:ascii="Times New Roman" w:hAnsi="Times New Roman" w:cs="Times New Roman"/>
          <w:sz w:val="28"/>
          <w:szCs w:val="28"/>
        </w:rPr>
        <w:t xml:space="preserve">га                – </w:t>
      </w:r>
      <w:r w:rsidR="00351C51" w:rsidRPr="002346DE">
        <w:rPr>
          <w:rFonts w:ascii="Times New Roman" w:hAnsi="Times New Roman" w:cs="Times New Roman"/>
          <w:sz w:val="28"/>
          <w:szCs w:val="28"/>
        </w:rPr>
        <w:t xml:space="preserve">Югры отдельным государственным полномочием по участию </w:t>
      </w:r>
      <w:r w:rsidR="00996C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1C51" w:rsidRPr="002346DE">
        <w:rPr>
          <w:rFonts w:ascii="Times New Roman" w:hAnsi="Times New Roman" w:cs="Times New Roman"/>
          <w:sz w:val="28"/>
          <w:szCs w:val="28"/>
        </w:rPr>
        <w:t>в реализации государственной программы Ханты-Мансийского автономного округа</w:t>
      </w:r>
      <w:r w:rsidR="002B535F">
        <w:rPr>
          <w:rFonts w:ascii="Times New Roman" w:hAnsi="Times New Roman" w:cs="Times New Roman"/>
          <w:sz w:val="28"/>
          <w:szCs w:val="28"/>
        </w:rPr>
        <w:t xml:space="preserve"> – </w:t>
      </w:r>
      <w:r w:rsidR="00351C51" w:rsidRPr="002346DE">
        <w:rPr>
          <w:rFonts w:ascii="Times New Roman" w:hAnsi="Times New Roman" w:cs="Times New Roman"/>
          <w:sz w:val="28"/>
          <w:szCs w:val="28"/>
        </w:rPr>
        <w:t>Югры «Устойчивое развитие коренных малочисленных народов Севера»</w:t>
      </w:r>
      <w:r w:rsidR="00901B9B" w:rsidRPr="002346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A6C9E" w:rsidRPr="002346DE" w:rsidRDefault="009A6C9E" w:rsidP="006B04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6DE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предельным объемам бюджетных ассигнований на 2021 год и плановый период </w:t>
      </w:r>
      <w:r w:rsidR="00A36C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346DE">
        <w:rPr>
          <w:rFonts w:ascii="Times New Roman" w:hAnsi="Times New Roman" w:cs="Times New Roman"/>
          <w:sz w:val="28"/>
          <w:szCs w:val="28"/>
        </w:rPr>
        <w:t>2022 и 2023 годов, направленным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9A6C9E" w:rsidRPr="002346DE" w:rsidRDefault="009A6C9E" w:rsidP="006B04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2346DE">
        <w:rPr>
          <w:rFonts w:ascii="Times New Roman" w:hAnsi="Times New Roman" w:cs="Times New Roman"/>
          <w:sz w:val="28"/>
          <w:szCs w:val="28"/>
        </w:rPr>
        <w:t xml:space="preserve">Приложения 2                                                к постановлению администрации Ханты-Мансийского района                           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период», в части соблюдения срока предоставления информации </w:t>
      </w:r>
      <w:r w:rsidR="00837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46DE">
        <w:rPr>
          <w:rFonts w:ascii="Times New Roman" w:hAnsi="Times New Roman" w:cs="Times New Roman"/>
          <w:sz w:val="28"/>
          <w:szCs w:val="28"/>
        </w:rPr>
        <w:t xml:space="preserve">о предельных объемах бюджетных ассигнований бюджета района </w:t>
      </w:r>
      <w:r w:rsidR="008379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46DE">
        <w:rPr>
          <w:rFonts w:ascii="Times New Roman" w:hAnsi="Times New Roman" w:cs="Times New Roman"/>
          <w:sz w:val="28"/>
          <w:szCs w:val="28"/>
        </w:rPr>
        <w:t>на реализацию муниципальных программ района и осуществления непрограммных направлений деятельности</w:t>
      </w:r>
      <w:r w:rsidR="00837945">
        <w:rPr>
          <w:rFonts w:ascii="Times New Roman" w:hAnsi="Times New Roman" w:cs="Times New Roman"/>
          <w:sz w:val="28"/>
          <w:szCs w:val="28"/>
        </w:rPr>
        <w:t xml:space="preserve"> </w:t>
      </w:r>
      <w:r w:rsidRPr="002346D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главным распорядителям средств бюджета</w:t>
      </w:r>
      <w:proofErr w:type="gramEnd"/>
      <w:r w:rsidRPr="002346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79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46DE">
        <w:rPr>
          <w:rFonts w:ascii="Times New Roman" w:hAnsi="Times New Roman" w:cs="Times New Roman"/>
          <w:sz w:val="28"/>
          <w:szCs w:val="28"/>
        </w:rPr>
        <w:t xml:space="preserve"> 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22.10.2020). Причиной несоблюдения требований явилось позднее доведение Департаментом по финансам </w:t>
      </w:r>
      <w:r w:rsidR="008379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46D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проектируемых объемов </w:t>
      </w:r>
      <w:r w:rsidRPr="002346DE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из бюджета автономного округа бюджету муниципального района на 2021 год и плановый период 2022 и 2023 годов.</w:t>
      </w:r>
    </w:p>
    <w:p w:rsidR="0050114D" w:rsidRDefault="00772A4A" w:rsidP="006B04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6DE">
        <w:rPr>
          <w:rFonts w:ascii="Times New Roman" w:hAnsi="Times New Roman" w:cs="Times New Roman"/>
          <w:sz w:val="28"/>
          <w:szCs w:val="28"/>
        </w:rPr>
        <w:t>О</w:t>
      </w:r>
      <w:r w:rsidR="00C9343D" w:rsidRPr="002346DE">
        <w:rPr>
          <w:rFonts w:ascii="Times New Roman" w:hAnsi="Times New Roman" w:cs="Times New Roman"/>
          <w:sz w:val="28"/>
          <w:szCs w:val="28"/>
        </w:rPr>
        <w:t>тветственным исполнителем программы определен</w:t>
      </w:r>
      <w:r w:rsidR="00C762AD" w:rsidRPr="002346DE">
        <w:rPr>
          <w:rFonts w:ascii="Times New Roman" w:hAnsi="Times New Roman" w:cs="Times New Roman"/>
          <w:sz w:val="28"/>
          <w:szCs w:val="28"/>
        </w:rPr>
        <w:t>а</w:t>
      </w:r>
      <w:r w:rsidR="00C9343D" w:rsidRPr="002346DE">
        <w:rPr>
          <w:rFonts w:ascii="Times New Roman" w:hAnsi="Times New Roman" w:cs="Times New Roman"/>
          <w:sz w:val="28"/>
          <w:szCs w:val="28"/>
        </w:rPr>
        <w:t xml:space="preserve"> </w:t>
      </w:r>
      <w:r w:rsidR="00C762AD" w:rsidRPr="002346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343D" w:rsidRPr="002346DE">
        <w:rPr>
          <w:rFonts w:ascii="Times New Roman" w:hAnsi="Times New Roman" w:cs="Times New Roman"/>
          <w:sz w:val="28"/>
          <w:szCs w:val="28"/>
        </w:rPr>
        <w:t xml:space="preserve">– </w:t>
      </w:r>
      <w:r w:rsidR="00D00EE2" w:rsidRPr="002346DE">
        <w:rPr>
          <w:rFonts w:ascii="Times New Roman" w:hAnsi="Times New Roman" w:cs="Times New Roman"/>
          <w:sz w:val="28"/>
          <w:szCs w:val="28"/>
        </w:rPr>
        <w:t>а</w:t>
      </w:r>
      <w:r w:rsidR="00265D1E" w:rsidRPr="002346DE">
        <w:rPr>
          <w:rFonts w:ascii="Times New Roman" w:hAnsi="Times New Roman" w:cs="Times New Roman"/>
          <w:sz w:val="28"/>
          <w:szCs w:val="28"/>
        </w:rPr>
        <w:t>дминистрация Ханты-Мансийского района (комитет экономиче</w:t>
      </w:r>
      <w:r w:rsidR="00EF2C70" w:rsidRPr="002346DE">
        <w:rPr>
          <w:rFonts w:ascii="Times New Roman" w:hAnsi="Times New Roman" w:cs="Times New Roman"/>
          <w:sz w:val="28"/>
          <w:szCs w:val="28"/>
        </w:rPr>
        <w:t>с</w:t>
      </w:r>
      <w:r w:rsidR="00265D1E" w:rsidRPr="002346DE">
        <w:rPr>
          <w:rFonts w:ascii="Times New Roman" w:hAnsi="Times New Roman" w:cs="Times New Roman"/>
          <w:sz w:val="28"/>
          <w:szCs w:val="28"/>
        </w:rPr>
        <w:t>кой политики администрации Ханты-Мансийского района</w:t>
      </w:r>
      <w:r w:rsidR="00324101" w:rsidRPr="002346DE">
        <w:rPr>
          <w:rFonts w:ascii="Times New Roman" w:hAnsi="Times New Roman" w:cs="Times New Roman"/>
          <w:sz w:val="28"/>
          <w:szCs w:val="28"/>
        </w:rPr>
        <w:t xml:space="preserve"> </w:t>
      </w:r>
      <w:r w:rsidR="00C9343D" w:rsidRPr="002346DE">
        <w:rPr>
          <w:rFonts w:ascii="Times New Roman" w:hAnsi="Times New Roman" w:cs="Times New Roman"/>
          <w:sz w:val="28"/>
          <w:szCs w:val="28"/>
        </w:rPr>
        <w:t>(далее</w:t>
      </w:r>
      <w:r w:rsidR="00324101" w:rsidRPr="002346DE">
        <w:rPr>
          <w:rFonts w:ascii="Times New Roman" w:hAnsi="Times New Roman" w:cs="Times New Roman"/>
          <w:sz w:val="28"/>
          <w:szCs w:val="28"/>
        </w:rPr>
        <w:t xml:space="preserve"> </w:t>
      </w:r>
      <w:r w:rsidR="00C9343D" w:rsidRPr="002346DE">
        <w:rPr>
          <w:rFonts w:ascii="Times New Roman" w:hAnsi="Times New Roman" w:cs="Times New Roman"/>
          <w:sz w:val="28"/>
          <w:szCs w:val="28"/>
        </w:rPr>
        <w:t xml:space="preserve">– </w:t>
      </w:r>
      <w:r w:rsidR="00265D1E" w:rsidRPr="002346DE">
        <w:rPr>
          <w:rFonts w:ascii="Times New Roman" w:hAnsi="Times New Roman" w:cs="Times New Roman"/>
          <w:sz w:val="28"/>
          <w:szCs w:val="28"/>
        </w:rPr>
        <w:t>Комитет</w:t>
      </w:r>
      <w:r w:rsidR="00C9343D" w:rsidRPr="002346DE">
        <w:rPr>
          <w:rFonts w:ascii="Times New Roman" w:hAnsi="Times New Roman" w:cs="Times New Roman"/>
          <w:sz w:val="28"/>
          <w:szCs w:val="28"/>
        </w:rPr>
        <w:t>).</w:t>
      </w:r>
      <w:r w:rsidR="00501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343D" w:rsidRPr="002346DE" w:rsidRDefault="00C9343D" w:rsidP="006B04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Соисполнител</w:t>
      </w:r>
      <w:r w:rsidR="00380D56">
        <w:rPr>
          <w:rFonts w:ascii="Times New Roman" w:hAnsi="Times New Roman" w:cs="Times New Roman"/>
          <w:sz w:val="28"/>
          <w:szCs w:val="28"/>
        </w:rPr>
        <w:t>и</w:t>
      </w:r>
      <w:r w:rsidRPr="002346D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71034" w:rsidRPr="002346DE">
        <w:rPr>
          <w:rFonts w:ascii="Times New Roman" w:hAnsi="Times New Roman" w:cs="Times New Roman"/>
          <w:sz w:val="28"/>
          <w:szCs w:val="28"/>
        </w:rPr>
        <w:t xml:space="preserve"> </w:t>
      </w:r>
      <w:r w:rsidR="00380D56">
        <w:rPr>
          <w:rFonts w:ascii="Times New Roman" w:hAnsi="Times New Roman" w:cs="Times New Roman"/>
          <w:sz w:val="28"/>
          <w:szCs w:val="28"/>
        </w:rPr>
        <w:t>не предусмотрены</w:t>
      </w:r>
      <w:r w:rsidRPr="002346DE">
        <w:rPr>
          <w:rFonts w:ascii="Times New Roman" w:hAnsi="Times New Roman" w:cs="Times New Roman"/>
          <w:sz w:val="28"/>
          <w:szCs w:val="28"/>
        </w:rPr>
        <w:t>.</w:t>
      </w:r>
    </w:p>
    <w:p w:rsidR="0050114D" w:rsidRDefault="0050114D" w:rsidP="006B04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060F57">
        <w:rPr>
          <w:rFonts w:ascii="Times New Roman" w:hAnsi="Times New Roman" w:cs="Times New Roman"/>
          <w:sz w:val="28"/>
          <w:szCs w:val="28"/>
        </w:rPr>
        <w:t>и программы</w:t>
      </w:r>
      <w:r w:rsidR="00C9343D" w:rsidRPr="002346DE">
        <w:rPr>
          <w:rFonts w:ascii="Times New Roman" w:hAnsi="Times New Roman" w:cs="Times New Roman"/>
          <w:sz w:val="28"/>
          <w:szCs w:val="28"/>
        </w:rPr>
        <w:t>:</w:t>
      </w:r>
    </w:p>
    <w:p w:rsidR="0050114D" w:rsidRDefault="00256385" w:rsidP="006B04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4D">
        <w:rPr>
          <w:rFonts w:ascii="Times New Roman" w:hAnsi="Times New Roman" w:cs="Times New Roman"/>
          <w:sz w:val="28"/>
          <w:szCs w:val="28"/>
        </w:rPr>
        <w:t>1.Содействие самобытному социально-экономическому                               и культурному развитию коренных малочисленных народов Севера, защита их исконной среды обитания, традиционных образа жизни, хозяйственной деятельности и промыслов.</w:t>
      </w:r>
    </w:p>
    <w:p w:rsidR="00256385" w:rsidRPr="0050114D" w:rsidRDefault="00256385" w:rsidP="006B04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4D">
        <w:rPr>
          <w:rFonts w:ascii="Times New Roman" w:hAnsi="Times New Roman" w:cs="Times New Roman"/>
          <w:sz w:val="28"/>
          <w:szCs w:val="28"/>
        </w:rPr>
        <w:t>2.Создание оптимальных условий для устойчивого экономического</w:t>
      </w:r>
      <w:r w:rsidRPr="002346DE">
        <w:rPr>
          <w:rFonts w:ascii="Times New Roman" w:hAnsi="Times New Roman" w:cs="Times New Roman"/>
          <w:sz w:val="28"/>
          <w:szCs w:val="28"/>
        </w:rPr>
        <w:t xml:space="preserve">        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</w:r>
      <w:r w:rsidR="00772A4A" w:rsidRPr="002346DE">
        <w:rPr>
          <w:rFonts w:ascii="Times New Roman" w:hAnsi="Times New Roman" w:cs="Times New Roman"/>
          <w:sz w:val="28"/>
          <w:szCs w:val="28"/>
        </w:rPr>
        <w:tab/>
      </w:r>
    </w:p>
    <w:p w:rsidR="00C9343D" w:rsidRPr="002346DE" w:rsidRDefault="00C9343D" w:rsidP="006B04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Согласно представленному Проекту программы источник</w:t>
      </w:r>
      <w:r w:rsidR="000A1DBE" w:rsidRPr="002346DE">
        <w:rPr>
          <w:rFonts w:ascii="Times New Roman" w:hAnsi="Times New Roman" w:cs="Times New Roman"/>
          <w:sz w:val="28"/>
          <w:szCs w:val="28"/>
        </w:rPr>
        <w:t>ами</w:t>
      </w:r>
      <w:r w:rsidRPr="002346DE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явля</w:t>
      </w:r>
      <w:r w:rsidR="00E71A48" w:rsidRPr="002346DE">
        <w:rPr>
          <w:rFonts w:ascii="Times New Roman" w:hAnsi="Times New Roman" w:cs="Times New Roman"/>
          <w:sz w:val="28"/>
          <w:szCs w:val="28"/>
        </w:rPr>
        <w:t>ю</w:t>
      </w:r>
      <w:r w:rsidRPr="002346DE">
        <w:rPr>
          <w:rFonts w:ascii="Times New Roman" w:hAnsi="Times New Roman" w:cs="Times New Roman"/>
          <w:sz w:val="28"/>
          <w:szCs w:val="28"/>
        </w:rPr>
        <w:t>тся</w:t>
      </w:r>
      <w:r w:rsidR="0050114D">
        <w:rPr>
          <w:rFonts w:ascii="Times New Roman" w:hAnsi="Times New Roman" w:cs="Times New Roman"/>
          <w:sz w:val="28"/>
          <w:szCs w:val="28"/>
        </w:rPr>
        <w:t>:</w:t>
      </w:r>
      <w:r w:rsidRPr="002346DE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141CD" w:rsidRPr="002346D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</w:t>
      </w:r>
      <w:r w:rsidR="00D31487" w:rsidRPr="002346DE">
        <w:rPr>
          <w:rFonts w:ascii="Times New Roman" w:hAnsi="Times New Roman" w:cs="Times New Roman"/>
          <w:sz w:val="28"/>
          <w:szCs w:val="28"/>
        </w:rPr>
        <w:t>ы</w:t>
      </w:r>
      <w:r w:rsidR="000141CD" w:rsidRPr="002346DE">
        <w:rPr>
          <w:rFonts w:ascii="Times New Roman" w:hAnsi="Times New Roman" w:cs="Times New Roman"/>
          <w:sz w:val="28"/>
          <w:szCs w:val="28"/>
        </w:rPr>
        <w:t xml:space="preserve"> и бюджет </w:t>
      </w:r>
      <w:r w:rsidRPr="002346DE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F23DB3" w:rsidRPr="002346DE" w:rsidRDefault="00F23DB3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162F46" w:rsidRPr="002346DE">
        <w:rPr>
          <w:rFonts w:ascii="Times New Roman" w:hAnsi="Times New Roman" w:cs="Times New Roman"/>
          <w:sz w:val="28"/>
          <w:szCs w:val="28"/>
        </w:rPr>
        <w:t>12 234,8</w:t>
      </w:r>
      <w:r w:rsidRPr="002346DE">
        <w:rPr>
          <w:rFonts w:ascii="Times New Roman" w:hAnsi="Times New Roman" w:cs="Times New Roman"/>
          <w:sz w:val="28"/>
          <w:szCs w:val="28"/>
        </w:rPr>
        <w:t xml:space="preserve"> тыс. рублей (в том числе: бюджет             Ханты-Мансийского автономного округа </w:t>
      </w:r>
      <w:r w:rsidR="00D13EB4">
        <w:rPr>
          <w:rFonts w:ascii="Times New Roman" w:hAnsi="Times New Roman" w:cs="Times New Roman"/>
          <w:sz w:val="28"/>
          <w:szCs w:val="28"/>
        </w:rPr>
        <w:t>–</w:t>
      </w:r>
      <w:r w:rsidRPr="002346DE">
        <w:rPr>
          <w:rFonts w:ascii="Times New Roman" w:hAnsi="Times New Roman" w:cs="Times New Roman"/>
          <w:sz w:val="28"/>
          <w:szCs w:val="28"/>
        </w:rPr>
        <w:t xml:space="preserve"> Югры – </w:t>
      </w:r>
      <w:r w:rsidR="00162F46" w:rsidRPr="002346DE">
        <w:rPr>
          <w:rFonts w:ascii="Times New Roman" w:hAnsi="Times New Roman" w:cs="Times New Roman"/>
          <w:sz w:val="28"/>
          <w:szCs w:val="28"/>
        </w:rPr>
        <w:t>11 634,8</w:t>
      </w:r>
      <w:r w:rsidRPr="002346DE">
        <w:rPr>
          <w:rFonts w:ascii="Times New Roman" w:hAnsi="Times New Roman" w:cs="Times New Roman"/>
          <w:sz w:val="28"/>
          <w:szCs w:val="28"/>
        </w:rPr>
        <w:t xml:space="preserve"> тыс. рублей; бюджет Ханты-Мансийского района – </w:t>
      </w:r>
      <w:r w:rsidR="00162F46" w:rsidRPr="002346DE">
        <w:rPr>
          <w:rFonts w:ascii="Times New Roman" w:hAnsi="Times New Roman" w:cs="Times New Roman"/>
          <w:sz w:val="28"/>
          <w:szCs w:val="28"/>
        </w:rPr>
        <w:t>600,0</w:t>
      </w:r>
      <w:r w:rsidRPr="002346DE">
        <w:rPr>
          <w:rFonts w:ascii="Times New Roman" w:hAnsi="Times New Roman" w:cs="Times New Roman"/>
          <w:sz w:val="28"/>
          <w:szCs w:val="28"/>
        </w:rPr>
        <w:t xml:space="preserve"> тыс. рублей), из них:</w:t>
      </w:r>
    </w:p>
    <w:p w:rsidR="00F23DB3" w:rsidRPr="002346DE" w:rsidRDefault="00F23DB3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6DE">
        <w:rPr>
          <w:rFonts w:ascii="Times New Roman" w:hAnsi="Times New Roman" w:cs="Times New Roman"/>
          <w:sz w:val="28"/>
          <w:szCs w:val="28"/>
        </w:rPr>
        <w:t xml:space="preserve">на 2021 год – </w:t>
      </w:r>
      <w:r w:rsidR="00162F46" w:rsidRPr="002346DE">
        <w:rPr>
          <w:rFonts w:ascii="Times New Roman" w:hAnsi="Times New Roman" w:cs="Times New Roman"/>
          <w:sz w:val="28"/>
          <w:szCs w:val="28"/>
        </w:rPr>
        <w:t>4 002,5</w:t>
      </w:r>
      <w:r w:rsidRPr="002346DE">
        <w:rPr>
          <w:rFonts w:ascii="Times New Roman" w:hAnsi="Times New Roman" w:cs="Times New Roman"/>
          <w:sz w:val="28"/>
          <w:szCs w:val="28"/>
        </w:rPr>
        <w:t xml:space="preserve"> тыс. рублей (в том числе: бюджет автономного округа – </w:t>
      </w:r>
      <w:r w:rsidR="00162F46" w:rsidRPr="002346DE">
        <w:rPr>
          <w:rFonts w:ascii="Times New Roman" w:hAnsi="Times New Roman" w:cs="Times New Roman"/>
          <w:sz w:val="28"/>
          <w:szCs w:val="28"/>
        </w:rPr>
        <w:t>3 802,5</w:t>
      </w:r>
      <w:r w:rsidRPr="002346DE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162F46" w:rsidRPr="002346DE">
        <w:rPr>
          <w:rFonts w:ascii="Times New Roman" w:hAnsi="Times New Roman" w:cs="Times New Roman"/>
          <w:sz w:val="28"/>
          <w:szCs w:val="28"/>
        </w:rPr>
        <w:t>200,0</w:t>
      </w:r>
      <w:r w:rsidRPr="002346DE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162F46" w:rsidRPr="002346DE" w:rsidRDefault="00162F46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6DE">
        <w:rPr>
          <w:rFonts w:ascii="Times New Roman" w:hAnsi="Times New Roman" w:cs="Times New Roman"/>
          <w:sz w:val="28"/>
          <w:szCs w:val="28"/>
        </w:rPr>
        <w:t>на 2022 год – 4 103,5 тыс. рублей (в том числе: бюджет автономного округа – 3 903,5 тыс. рублей; бюджет района – 200,0 тыс. рублей);</w:t>
      </w:r>
      <w:proofErr w:type="gramEnd"/>
    </w:p>
    <w:p w:rsidR="00162F46" w:rsidRPr="002346DE" w:rsidRDefault="00162F46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6DE">
        <w:rPr>
          <w:rFonts w:ascii="Times New Roman" w:hAnsi="Times New Roman" w:cs="Times New Roman"/>
          <w:sz w:val="28"/>
          <w:szCs w:val="28"/>
        </w:rPr>
        <w:t>на 2023 год – 4 128,8 тыс. рублей (в том числе: бюджет автономного округа – 3 928,8 тыс. рублей; бюджет района – 200,0 тыс. рублей).</w:t>
      </w:r>
      <w:proofErr w:type="gramEnd"/>
    </w:p>
    <w:p w:rsidR="00F23DB3" w:rsidRPr="002346DE" w:rsidRDefault="00F23DB3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из федерального бюджета не предусмотрено.</w:t>
      </w:r>
    </w:p>
    <w:p w:rsidR="00C9343D" w:rsidRPr="002346DE" w:rsidRDefault="00C9343D" w:rsidP="006B04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 xml:space="preserve">Проектом программы на весь срок реализации предлагается следующая структура расходов в разрезе </w:t>
      </w:r>
      <w:r w:rsidR="00C36354" w:rsidRPr="002346DE">
        <w:rPr>
          <w:rFonts w:ascii="Times New Roman" w:hAnsi="Times New Roman" w:cs="Times New Roman"/>
          <w:sz w:val="28"/>
          <w:szCs w:val="28"/>
        </w:rPr>
        <w:t>мероприятий</w:t>
      </w:r>
      <w:r w:rsidRPr="002346DE">
        <w:rPr>
          <w:rFonts w:ascii="Times New Roman" w:hAnsi="Times New Roman" w:cs="Times New Roman"/>
          <w:sz w:val="28"/>
          <w:szCs w:val="28"/>
        </w:rPr>
        <w:t>:</w:t>
      </w:r>
    </w:p>
    <w:p w:rsidR="00BF0E38" w:rsidRPr="002346DE" w:rsidRDefault="00A93B22" w:rsidP="006B04A6">
      <w:pPr>
        <w:pStyle w:val="ConsPlusNormal"/>
        <w:spacing w:line="276" w:lineRule="auto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anchor="Par454" w:history="1">
        <w:r w:rsidR="00BF0E38" w:rsidRPr="002346D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BF0E38" w:rsidRPr="002346DE">
        <w:rPr>
          <w:rFonts w:ascii="Times New Roman" w:hAnsi="Times New Roman" w:cs="Times New Roman"/>
          <w:sz w:val="28"/>
          <w:szCs w:val="28"/>
        </w:rPr>
        <w:t>.</w:t>
      </w:r>
      <w:r w:rsidR="00C36354" w:rsidRPr="002346DE">
        <w:rPr>
          <w:rFonts w:ascii="Times New Roman" w:hAnsi="Times New Roman" w:cs="Times New Roman"/>
          <w:sz w:val="28"/>
          <w:szCs w:val="28"/>
        </w:rPr>
        <w:t>1.</w:t>
      </w:r>
      <w:r w:rsidR="00BF0E38" w:rsidRPr="002346DE">
        <w:rPr>
          <w:rFonts w:ascii="Times New Roman" w:hAnsi="Times New Roman" w:cs="Times New Roman"/>
          <w:sz w:val="28"/>
          <w:szCs w:val="28"/>
        </w:rPr>
        <w:t xml:space="preserve"> </w:t>
      </w:r>
      <w:r w:rsidR="00C36354" w:rsidRPr="002346DE">
        <w:rPr>
          <w:rFonts w:ascii="Times New Roman" w:hAnsi="Times New Roman" w:cs="Times New Roman"/>
          <w:sz w:val="28"/>
          <w:szCs w:val="28"/>
        </w:rPr>
        <w:t xml:space="preserve">«Поддержка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</w:t>
      </w:r>
      <w:r w:rsidR="00C36354" w:rsidRPr="002346DE">
        <w:rPr>
          <w:rFonts w:ascii="Times New Roman" w:hAnsi="Times New Roman" w:cs="Times New Roman"/>
          <w:sz w:val="28"/>
          <w:szCs w:val="28"/>
        </w:rPr>
        <w:lastRenderedPageBreak/>
        <w:t>средств, на приобретение северных оленей»</w:t>
      </w:r>
      <w:r w:rsidR="00D31487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- </w:t>
      </w:r>
      <w:r w:rsidR="00C36354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8 341,1</w:t>
      </w:r>
      <w:r w:rsidR="00D31487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тыс. рублей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A6074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r w:rsidR="00C36354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68,2</w:t>
      </w:r>
      <w:r w:rsidR="005D687C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% от общей суммы расходов по программе;</w:t>
      </w:r>
    </w:p>
    <w:p w:rsidR="00BF0E38" w:rsidRPr="002346DE" w:rsidRDefault="00C36354" w:rsidP="006B04A6">
      <w:pPr>
        <w:pStyle w:val="ConsPlusNormal"/>
        <w:spacing w:line="276" w:lineRule="auto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1.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2. </w:t>
      </w:r>
      <w:r w:rsidRPr="002346DE">
        <w:rPr>
          <w:rFonts w:ascii="Times New Roman" w:hAnsi="Times New Roman" w:cs="Times New Roman"/>
          <w:sz w:val="28"/>
          <w:szCs w:val="28"/>
        </w:rPr>
        <w:t xml:space="preserve">«Поддержка на лимитируемую продукцию охоты» </w:t>
      </w:r>
      <w:r w:rsidR="003978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- </w:t>
      </w: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3 264,0</w:t>
      </w:r>
      <w:r w:rsidR="00D31487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тыс. рублей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</w:t>
      </w: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26,7</w:t>
      </w:r>
      <w:r w:rsidR="005D687C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% от общей суммы расходов по программе;</w:t>
      </w:r>
    </w:p>
    <w:p w:rsidR="00BF0E38" w:rsidRPr="002346DE" w:rsidRDefault="00C36354" w:rsidP="006B04A6">
      <w:pPr>
        <w:pStyle w:val="ConsPlusNormal"/>
        <w:spacing w:line="276" w:lineRule="auto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1.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D31487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2346DE">
        <w:rPr>
          <w:rFonts w:ascii="Times New Roman" w:hAnsi="Times New Roman" w:cs="Times New Roman"/>
          <w:sz w:val="28"/>
          <w:szCs w:val="28"/>
        </w:rPr>
        <w:t xml:space="preserve">«Поддержка на компенсацию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                  в целях изучения правил безопасного обращения с оружием» 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31487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29,7</w:t>
      </w:r>
      <w:r w:rsidR="00D31487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тыс.</w:t>
      </w: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31487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рублей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</w:t>
      </w: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0,2</w:t>
      </w:r>
      <w:r w:rsidR="005D687C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% от общей суммы расходов по программе;</w:t>
      </w:r>
    </w:p>
    <w:p w:rsidR="00BF0E38" w:rsidRPr="002346DE" w:rsidRDefault="00C36354" w:rsidP="006B04A6">
      <w:pPr>
        <w:pStyle w:val="ConsPlusNormal"/>
        <w:spacing w:line="276" w:lineRule="auto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1.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4. </w:t>
      </w:r>
      <w:r w:rsidRPr="002346DE">
        <w:rPr>
          <w:rFonts w:ascii="Times New Roman" w:hAnsi="Times New Roman" w:cs="Times New Roman"/>
          <w:sz w:val="28"/>
          <w:szCs w:val="28"/>
        </w:rPr>
        <w:t>«Организация, проведение мероприятий, направленных                        на развитие традиционной хозяйственной деятельности, и участие в них»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600,0</w:t>
      </w:r>
      <w:r w:rsidR="00D31487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тыс. рублей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</w:t>
      </w: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4,9</w:t>
      </w:r>
      <w:r w:rsidR="005D687C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F0E38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% от общей суммы расходов по программе</w:t>
      </w: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048B8" w:rsidRPr="002346DE" w:rsidRDefault="004C705B" w:rsidP="006B04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0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представлено</w:t>
      </w:r>
      <w:r w:rsidR="00B048B8" w:rsidRPr="004C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 обоснование и пояснения </w:t>
      </w:r>
      <w:r w:rsidRPr="004C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48B8" w:rsidRPr="004C7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по мероприятиям муниципальной программы.</w:t>
      </w:r>
      <w:r w:rsidR="00B048B8" w:rsidRPr="0023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43D" w:rsidRPr="002346DE" w:rsidRDefault="00C9343D" w:rsidP="006B04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             по целевым показателям на последний год действия программы:</w:t>
      </w:r>
    </w:p>
    <w:p w:rsidR="00942FBD" w:rsidRPr="002346DE" w:rsidRDefault="00942FBD" w:rsidP="006B04A6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  <w:r w:rsidRPr="002346DE">
        <w:rPr>
          <w:rFonts w:eastAsia="Arial"/>
          <w:bCs/>
          <w:sz w:val="28"/>
          <w:szCs w:val="28"/>
          <w:lang w:eastAsia="ar-SA"/>
        </w:rPr>
        <w:t xml:space="preserve">1. Увеличение </w:t>
      </w:r>
      <w:r w:rsidRPr="002346DE">
        <w:rPr>
          <w:sz w:val="28"/>
          <w:szCs w:val="28"/>
        </w:rPr>
        <w:t xml:space="preserve">количества национальных общин и организаций, осуществляющих традиционную хозяйственную деятельность </w:t>
      </w:r>
      <w:r w:rsidR="003C5F52">
        <w:rPr>
          <w:sz w:val="28"/>
          <w:szCs w:val="28"/>
        </w:rPr>
        <w:t xml:space="preserve">                             </w:t>
      </w:r>
      <w:r w:rsidRPr="002346DE">
        <w:rPr>
          <w:sz w:val="28"/>
          <w:szCs w:val="28"/>
        </w:rPr>
        <w:t>и занимающихся традиционными промыслами коренных малочисленных народов Севера – 32 единиц</w:t>
      </w:r>
      <w:r w:rsidR="003C5F52">
        <w:rPr>
          <w:sz w:val="28"/>
          <w:szCs w:val="28"/>
        </w:rPr>
        <w:t>ы</w:t>
      </w:r>
      <w:r w:rsidRPr="002346DE">
        <w:rPr>
          <w:sz w:val="28"/>
          <w:szCs w:val="28"/>
        </w:rPr>
        <w:t>;</w:t>
      </w:r>
    </w:p>
    <w:p w:rsidR="003C5F52" w:rsidRDefault="00942FBD" w:rsidP="006B04A6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  <w:r w:rsidRPr="002346DE">
        <w:rPr>
          <w:rFonts w:eastAsia="Arial"/>
          <w:bCs/>
          <w:sz w:val="28"/>
          <w:szCs w:val="28"/>
          <w:lang w:eastAsia="ar-SA"/>
        </w:rPr>
        <w:t>2. Пов</w:t>
      </w:r>
      <w:r w:rsidR="003C5F52">
        <w:rPr>
          <w:rFonts w:eastAsia="Arial"/>
          <w:bCs/>
          <w:sz w:val="28"/>
          <w:szCs w:val="28"/>
          <w:lang w:eastAsia="ar-SA"/>
        </w:rPr>
        <w:t xml:space="preserve">ышение доли национальных </w:t>
      </w:r>
      <w:r w:rsidRPr="002346DE">
        <w:rPr>
          <w:rFonts w:eastAsia="Arial"/>
          <w:bCs/>
          <w:sz w:val="28"/>
          <w:szCs w:val="28"/>
          <w:lang w:eastAsia="ar-SA"/>
        </w:rPr>
        <w:t>общин и организаций, осуществляющих традиционную хозяйственную деятельность</w:t>
      </w:r>
      <w:r w:rsidR="003C5F52">
        <w:rPr>
          <w:rFonts w:eastAsia="Arial"/>
          <w:bCs/>
          <w:sz w:val="28"/>
          <w:szCs w:val="28"/>
          <w:lang w:eastAsia="ar-SA"/>
        </w:rPr>
        <w:t xml:space="preserve">                             </w:t>
      </w:r>
      <w:r w:rsidRPr="002346DE">
        <w:rPr>
          <w:rFonts w:eastAsia="Arial"/>
          <w:bCs/>
          <w:sz w:val="28"/>
          <w:szCs w:val="28"/>
          <w:lang w:eastAsia="ar-SA"/>
        </w:rPr>
        <w:t xml:space="preserve"> и занимающихся традиционными промыслами коренных малочисленных народов Севера, получивших поддержку на развитие традиционных отраслей хозяйства </w:t>
      </w:r>
      <w:r w:rsidRPr="002346DE">
        <w:rPr>
          <w:sz w:val="28"/>
          <w:szCs w:val="28"/>
        </w:rPr>
        <w:t xml:space="preserve">– </w:t>
      </w:r>
      <w:r w:rsidRPr="002346DE">
        <w:rPr>
          <w:rFonts w:eastAsia="Arial"/>
          <w:bCs/>
          <w:sz w:val="28"/>
          <w:szCs w:val="28"/>
          <w:lang w:eastAsia="ar-SA"/>
        </w:rPr>
        <w:t>6</w:t>
      </w:r>
      <w:r w:rsidR="003C5F52">
        <w:rPr>
          <w:rFonts w:eastAsia="Arial"/>
          <w:bCs/>
          <w:sz w:val="28"/>
          <w:szCs w:val="28"/>
          <w:lang w:eastAsia="ar-SA"/>
        </w:rPr>
        <w:t xml:space="preserve"> </w:t>
      </w:r>
      <w:r w:rsidRPr="002346DE">
        <w:rPr>
          <w:rFonts w:eastAsia="Arial"/>
          <w:bCs/>
          <w:sz w:val="28"/>
          <w:szCs w:val="28"/>
          <w:lang w:eastAsia="ar-SA"/>
        </w:rPr>
        <w:t>%</w:t>
      </w:r>
      <w:r w:rsidR="003C5F52">
        <w:rPr>
          <w:rFonts w:eastAsia="Arial"/>
          <w:bCs/>
          <w:sz w:val="28"/>
          <w:szCs w:val="28"/>
          <w:lang w:eastAsia="ar-SA"/>
        </w:rPr>
        <w:t>;</w:t>
      </w:r>
    </w:p>
    <w:p w:rsidR="00942FBD" w:rsidRPr="003C5F52" w:rsidRDefault="00942FBD" w:rsidP="006B04A6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  <w:r w:rsidRPr="002346DE">
        <w:rPr>
          <w:rFonts w:eastAsia="Arial"/>
          <w:bCs/>
          <w:sz w:val="28"/>
          <w:szCs w:val="28"/>
          <w:lang w:eastAsia="ar-SA"/>
        </w:rPr>
        <w:t>3.</w:t>
      </w:r>
      <w:r w:rsidR="008A24B8">
        <w:rPr>
          <w:rFonts w:eastAsia="Arial"/>
          <w:bCs/>
          <w:sz w:val="28"/>
          <w:szCs w:val="28"/>
          <w:lang w:eastAsia="ar-SA"/>
        </w:rPr>
        <w:t xml:space="preserve"> </w:t>
      </w:r>
      <w:r w:rsidRPr="002346DE">
        <w:rPr>
          <w:rFonts w:eastAsia="Arial"/>
          <w:bCs/>
          <w:sz w:val="28"/>
          <w:szCs w:val="28"/>
          <w:lang w:eastAsia="ar-SA"/>
        </w:rPr>
        <w:t xml:space="preserve">Увеличение количества пользователей территориями традиционного природопользования из числа коренных малочисленных народов и лиц, не относящихся к коренным малочисленным народам, </w:t>
      </w:r>
      <w:r w:rsidR="003C5F52">
        <w:rPr>
          <w:rFonts w:eastAsia="Arial"/>
          <w:bCs/>
          <w:sz w:val="28"/>
          <w:szCs w:val="28"/>
          <w:lang w:eastAsia="ar-SA"/>
        </w:rPr>
        <w:t xml:space="preserve">                   </w:t>
      </w:r>
      <w:r w:rsidRPr="002346DE">
        <w:rPr>
          <w:rFonts w:eastAsia="Arial"/>
          <w:bCs/>
          <w:sz w:val="28"/>
          <w:szCs w:val="28"/>
          <w:lang w:eastAsia="ar-SA"/>
        </w:rPr>
        <w:t xml:space="preserve">но ведущих традиционные виды хозяйственной деятельности </w:t>
      </w:r>
      <w:r w:rsidR="003C5F52">
        <w:rPr>
          <w:rFonts w:eastAsia="Arial"/>
          <w:bCs/>
          <w:sz w:val="28"/>
          <w:szCs w:val="28"/>
          <w:lang w:eastAsia="ar-SA"/>
        </w:rPr>
        <w:t xml:space="preserve">                                  </w:t>
      </w:r>
      <w:r w:rsidRPr="002346DE">
        <w:rPr>
          <w:sz w:val="28"/>
          <w:szCs w:val="28"/>
        </w:rPr>
        <w:t xml:space="preserve">– </w:t>
      </w:r>
      <w:r w:rsidRPr="002346DE">
        <w:rPr>
          <w:rFonts w:eastAsia="Arial"/>
          <w:bCs/>
          <w:sz w:val="28"/>
          <w:szCs w:val="28"/>
          <w:lang w:eastAsia="ar-SA"/>
        </w:rPr>
        <w:t>357 человек</w:t>
      </w:r>
      <w:r w:rsidR="003C5F52">
        <w:rPr>
          <w:rFonts w:eastAsia="Arial"/>
          <w:bCs/>
          <w:sz w:val="28"/>
          <w:szCs w:val="28"/>
          <w:lang w:eastAsia="ar-SA"/>
        </w:rPr>
        <w:t>;</w:t>
      </w:r>
    </w:p>
    <w:p w:rsidR="00942FBD" w:rsidRPr="002346DE" w:rsidRDefault="00942FBD" w:rsidP="006B04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4. Увеличение количества семей, осуществляющих традиционную хозяйственную деятельность –  65 единиц.</w:t>
      </w:r>
    </w:p>
    <w:p w:rsidR="00B60330" w:rsidRPr="002346DE" w:rsidRDefault="00B048B8" w:rsidP="006B04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 xml:space="preserve">Паспорт и разделы Проекта программы соответствуют                   требованиям  </w:t>
      </w:r>
      <w:r w:rsidR="002A66AF" w:rsidRPr="00234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A66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66AF" w:rsidRPr="0023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A66AF" w:rsidRPr="002346DE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      от 07.09.2018 № 246 «О модельной муниципальной программе 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</w:t>
      </w:r>
      <w:r w:rsidR="002A66AF">
        <w:rPr>
          <w:rFonts w:ascii="Times New Roman" w:hAnsi="Times New Roman" w:cs="Times New Roman"/>
          <w:sz w:val="28"/>
          <w:szCs w:val="28"/>
        </w:rPr>
        <w:t xml:space="preserve">, </w:t>
      </w:r>
      <w:r w:rsidRPr="002346DE">
        <w:rPr>
          <w:rFonts w:ascii="Times New Roman" w:hAnsi="Times New Roman" w:cs="Times New Roman"/>
          <w:sz w:val="28"/>
          <w:szCs w:val="28"/>
        </w:rPr>
        <w:t xml:space="preserve">с учетом внесенных </w:t>
      </w:r>
      <w:r w:rsidR="002A66AF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D27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66AF">
        <w:rPr>
          <w:rFonts w:ascii="Times New Roman" w:hAnsi="Times New Roman" w:cs="Times New Roman"/>
          <w:sz w:val="28"/>
          <w:szCs w:val="28"/>
        </w:rPr>
        <w:lastRenderedPageBreak/>
        <w:t xml:space="preserve">от 02.10.2020 (№ 274) </w:t>
      </w:r>
      <w:r w:rsidRPr="0023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 администрации </w:t>
      </w:r>
      <w:r w:rsidR="00DD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46DE">
        <w:rPr>
          <w:rFonts w:ascii="Times New Roman" w:hAnsi="Times New Roman" w:cs="Times New Roman"/>
          <w:sz w:val="28"/>
          <w:szCs w:val="28"/>
        </w:rPr>
        <w:t>Ханты-Мансийского района от 07.09.2018 № 246).</w:t>
      </w:r>
      <w:r w:rsidR="00B60330" w:rsidRPr="002346DE">
        <w:rPr>
          <w:rFonts w:ascii="Times New Roman" w:hAnsi="Times New Roman" w:cs="Times New Roman"/>
          <w:sz w:val="28"/>
          <w:szCs w:val="28"/>
        </w:rPr>
        <w:t xml:space="preserve"> </w:t>
      </w:r>
      <w:r w:rsidR="00B60330" w:rsidRPr="002346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0330" w:rsidRPr="002346DE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="00DD27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0330" w:rsidRPr="002346DE">
        <w:rPr>
          <w:rFonts w:ascii="Times New Roman" w:hAnsi="Times New Roman" w:cs="Times New Roman"/>
          <w:sz w:val="28"/>
          <w:szCs w:val="28"/>
        </w:rPr>
        <w:t xml:space="preserve"> постановлением админист</w:t>
      </w:r>
      <w:r w:rsidR="002A66AF">
        <w:rPr>
          <w:rFonts w:ascii="Times New Roman" w:hAnsi="Times New Roman" w:cs="Times New Roman"/>
          <w:sz w:val="28"/>
          <w:szCs w:val="28"/>
        </w:rPr>
        <w:t xml:space="preserve">рации Ханты-Мансийского района </w:t>
      </w:r>
      <w:r w:rsidR="00DD27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0330" w:rsidRPr="002346DE">
        <w:rPr>
          <w:rFonts w:ascii="Times New Roman" w:hAnsi="Times New Roman" w:cs="Times New Roman"/>
          <w:sz w:val="28"/>
          <w:szCs w:val="28"/>
        </w:rPr>
        <w:t xml:space="preserve">от 02.10.2020 № 274 Таблицы 5 и 8 признаны утратившими силу </w:t>
      </w:r>
      <w:r w:rsidR="00DD27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0330" w:rsidRPr="002346DE">
        <w:rPr>
          <w:rFonts w:ascii="Times New Roman" w:hAnsi="Times New Roman" w:cs="Times New Roman"/>
          <w:sz w:val="28"/>
          <w:szCs w:val="28"/>
        </w:rPr>
        <w:t xml:space="preserve"> и исключены из Проекта программы. </w:t>
      </w:r>
    </w:p>
    <w:p w:rsidR="00B60330" w:rsidRPr="002346DE" w:rsidRDefault="00B60330" w:rsidP="006B04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DE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действующей редакцией </w:t>
      </w:r>
      <w:r w:rsidRPr="0023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2346DE">
        <w:rPr>
          <w:rFonts w:ascii="Times New Roman" w:hAnsi="Times New Roman" w:cs="Times New Roman"/>
          <w:sz w:val="28"/>
          <w:szCs w:val="28"/>
        </w:rPr>
        <w:t>от 07.09.2018 № 246 не скорректирована нумерация таблиц модельной муниципальной программы.</w:t>
      </w:r>
    </w:p>
    <w:p w:rsidR="00E147A6" w:rsidRPr="002346DE" w:rsidRDefault="00E147A6" w:rsidP="006B0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46DE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05.11.2020 № 07-Исх-2945,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2346DE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2346DE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2346DE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246, которым определено, что рамках экспертизы проект муниципальной программы должен б</w:t>
      </w:r>
      <w:r w:rsidR="00A9121E">
        <w:rPr>
          <w:rFonts w:ascii="Times New Roman" w:hAnsi="Times New Roman" w:cs="Times New Roman"/>
          <w:sz w:val="28"/>
          <w:szCs w:val="28"/>
        </w:rPr>
        <w:t xml:space="preserve">ыть рассмотрен на соответствие </w:t>
      </w:r>
      <w:r w:rsidRPr="002346DE">
        <w:rPr>
          <w:rFonts w:ascii="Times New Roman" w:hAnsi="Times New Roman" w:cs="Times New Roman"/>
          <w:i/>
          <w:sz w:val="28"/>
          <w:szCs w:val="28"/>
        </w:rPr>
        <w:t>следующим направлениям</w:t>
      </w:r>
      <w:r w:rsidRPr="002346DE">
        <w:rPr>
          <w:rFonts w:ascii="Times New Roman" w:hAnsi="Times New Roman" w:cs="Times New Roman"/>
          <w:sz w:val="28"/>
          <w:szCs w:val="28"/>
        </w:rPr>
        <w:t>:</w:t>
      </w:r>
    </w:p>
    <w:p w:rsidR="00E147A6" w:rsidRPr="002346DE" w:rsidRDefault="00E147A6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E147A6" w:rsidRPr="002346DE" w:rsidRDefault="00E147A6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E147A6" w:rsidRPr="002346DE" w:rsidRDefault="00E147A6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E147A6" w:rsidRPr="002346DE" w:rsidRDefault="00E147A6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E147A6" w:rsidRPr="002346DE" w:rsidRDefault="00E147A6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 xml:space="preserve"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</w:t>
      </w:r>
      <w:r w:rsidRPr="002346DE">
        <w:rPr>
          <w:rFonts w:ascii="Times New Roman" w:hAnsi="Times New Roman" w:cs="Times New Roman"/>
          <w:sz w:val="28"/>
          <w:szCs w:val="28"/>
        </w:rPr>
        <w:lastRenderedPageBreak/>
        <w:t>по административно-территориальным единицам Ханты-Мансийского автономного округа – Югры).</w:t>
      </w:r>
    </w:p>
    <w:p w:rsidR="00E147A6" w:rsidRPr="002346DE" w:rsidRDefault="00E147A6" w:rsidP="006B04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«3. </w:t>
      </w:r>
      <w:proofErr w:type="gramStart"/>
      <w:r w:rsidRPr="0023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Стратегии» решения Думы </w:t>
      </w:r>
      <w:r w:rsidRPr="002346DE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</w:t>
      </w:r>
      <w:r w:rsidR="005028AA" w:rsidRPr="002346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46DE">
        <w:rPr>
          <w:rFonts w:ascii="Times New Roman" w:hAnsi="Times New Roman" w:cs="Times New Roman"/>
          <w:sz w:val="28"/>
          <w:szCs w:val="28"/>
        </w:rPr>
        <w:t>(далее</w:t>
      </w:r>
      <w:r w:rsidR="005028AA" w:rsidRPr="002346DE">
        <w:rPr>
          <w:rFonts w:ascii="Times New Roman" w:hAnsi="Times New Roman" w:cs="Times New Roman"/>
          <w:sz w:val="28"/>
          <w:szCs w:val="28"/>
        </w:rPr>
        <w:t xml:space="preserve"> </w:t>
      </w:r>
      <w:r w:rsidRPr="002346DE">
        <w:rPr>
          <w:rFonts w:ascii="Times New Roman" w:hAnsi="Times New Roman" w:cs="Times New Roman"/>
          <w:sz w:val="28"/>
          <w:szCs w:val="28"/>
        </w:rPr>
        <w:t>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E147A6" w:rsidRPr="002346DE" w:rsidRDefault="00E147A6" w:rsidP="006B04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ab/>
      </w:r>
      <w:r w:rsidRPr="002346DE">
        <w:rPr>
          <w:rFonts w:ascii="Times New Roman" w:hAnsi="Times New Roman" w:cs="Times New Roman"/>
          <w:i/>
          <w:sz w:val="28"/>
          <w:szCs w:val="28"/>
        </w:rPr>
        <w:t>Цели</w:t>
      </w:r>
      <w:r w:rsidRPr="002346DE">
        <w:rPr>
          <w:rFonts w:ascii="Times New Roman" w:hAnsi="Times New Roman" w:cs="Times New Roman"/>
          <w:sz w:val="28"/>
          <w:szCs w:val="28"/>
        </w:rPr>
        <w:t xml:space="preserve">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</w:t>
      </w:r>
      <w:r w:rsidR="00052A44" w:rsidRPr="002346DE">
        <w:rPr>
          <w:rFonts w:ascii="Times New Roman" w:hAnsi="Times New Roman" w:cs="Times New Roman"/>
          <w:sz w:val="28"/>
          <w:szCs w:val="28"/>
        </w:rPr>
        <w:t>Поддержка традиционных видов хозяйственной деятельности коренных малочисленных народов Севера</w:t>
      </w:r>
      <w:r w:rsidRPr="002346DE">
        <w:rPr>
          <w:rFonts w:ascii="Times New Roman" w:hAnsi="Times New Roman" w:cs="Times New Roman"/>
          <w:sz w:val="28"/>
          <w:szCs w:val="28"/>
        </w:rPr>
        <w:t>».</w:t>
      </w:r>
    </w:p>
    <w:p w:rsidR="00E147A6" w:rsidRPr="002346DE" w:rsidRDefault="00E147A6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2346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6DE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                      на </w:t>
      </w:r>
      <w:r w:rsidRPr="002346DE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муниципальной программы       с целевыми показателями Стратегии и показателями прогноза      социально-экономического развития муниципального образования</w:t>
      </w:r>
      <w:r w:rsidRPr="002346DE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                                                     от 24.09.2020 № 265 «О прогнозе социально-экономического развития Ханты-Мансийского района на 2021 год и плановый период                    2022-2023 годов».</w:t>
      </w:r>
    </w:p>
    <w:p w:rsidR="00E147A6" w:rsidRPr="002346DE" w:rsidRDefault="00E147A6" w:rsidP="006B04A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ab/>
        <w:t xml:space="preserve">Несоблюдение </w:t>
      </w:r>
      <w:r w:rsidRPr="002346DE">
        <w:rPr>
          <w:rFonts w:ascii="Times New Roman" w:eastAsia="Calibri" w:hAnsi="Times New Roman" w:cs="Times New Roman"/>
          <w:sz w:val="28"/>
          <w:szCs w:val="28"/>
        </w:rPr>
        <w:t xml:space="preserve">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</w:t>
      </w:r>
      <w:r w:rsidRPr="002346D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A912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46DE">
        <w:rPr>
          <w:rFonts w:ascii="Times New Roman" w:hAnsi="Times New Roman" w:cs="Times New Roman"/>
          <w:sz w:val="28"/>
          <w:szCs w:val="28"/>
        </w:rPr>
        <w:t>части 3.1.  раздела «3. Механизмы реализации Стратегии» решения Думы                     Ханты-Мансийского района от 21.09.2018 № 341 и пункта 1.1. раздела                 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B048B8" w:rsidRDefault="00B048B8" w:rsidP="006B04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Проекта программы на официальном сайте администрации Ханты-Мансийского района замечания и предложения от общественности и населения                       не поступали.</w:t>
      </w:r>
    </w:p>
    <w:p w:rsidR="00C430F9" w:rsidRPr="002346DE" w:rsidRDefault="00C430F9" w:rsidP="006B04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21E" w:rsidRDefault="006B0BAF" w:rsidP="006B04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46DE">
        <w:rPr>
          <w:rFonts w:ascii="Times New Roman" w:hAnsi="Times New Roman" w:cs="Times New Roman"/>
          <w:i/>
          <w:sz w:val="28"/>
          <w:szCs w:val="28"/>
          <w:u w:val="single"/>
        </w:rPr>
        <w:t>Кроме того, по результатам рассмотрения Проекта программы установлено:</w:t>
      </w:r>
    </w:p>
    <w:p w:rsidR="006B0BAF" w:rsidRPr="00A9121E" w:rsidRDefault="007B4FC0" w:rsidP="006B04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письмо Департамента недропользования и природных ресурсов Ханты-Мансийского автономного округа – Югры от 19.08.2020 № 12-Исх-21138 </w:t>
      </w:r>
      <w:r w:rsidR="008A24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о распределени</w:t>
      </w:r>
      <w:r w:rsidR="008A24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субвенци</w:t>
      </w:r>
      <w:r w:rsidR="00DA49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961">
        <w:rPr>
          <w:rFonts w:ascii="Times New Roman" w:hAnsi="Times New Roman" w:cs="Times New Roman"/>
          <w:sz w:val="28"/>
          <w:szCs w:val="28"/>
        </w:rPr>
        <w:t>на реализацию</w:t>
      </w:r>
      <w:r w:rsidR="00DA4961" w:rsidRPr="00DA4961">
        <w:rPr>
          <w:rFonts w:ascii="Times New Roman" w:hAnsi="Times New Roman" w:cs="Times New Roman"/>
          <w:sz w:val="28"/>
          <w:szCs w:val="28"/>
        </w:rPr>
        <w:t xml:space="preserve"> </w:t>
      </w:r>
      <w:r w:rsidR="00DA4961" w:rsidRPr="002346DE"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="00A9121E">
        <w:rPr>
          <w:rFonts w:ascii="Times New Roman" w:hAnsi="Times New Roman" w:cs="Times New Roman"/>
          <w:sz w:val="28"/>
          <w:szCs w:val="28"/>
        </w:rPr>
        <w:t>предусмотренного пун</w:t>
      </w:r>
      <w:r w:rsidR="00DA4961" w:rsidRPr="002346DE">
        <w:rPr>
          <w:rFonts w:ascii="Times New Roman" w:hAnsi="Times New Roman" w:cs="Times New Roman"/>
          <w:sz w:val="28"/>
          <w:szCs w:val="28"/>
        </w:rPr>
        <w:t>кт</w:t>
      </w:r>
      <w:r w:rsidR="00A9121E">
        <w:rPr>
          <w:rFonts w:ascii="Times New Roman" w:hAnsi="Times New Roman" w:cs="Times New Roman"/>
          <w:sz w:val="28"/>
          <w:szCs w:val="28"/>
        </w:rPr>
        <w:t>ом</w:t>
      </w:r>
      <w:r w:rsidR="00DA4961" w:rsidRPr="002346DE">
        <w:rPr>
          <w:rFonts w:ascii="Times New Roman" w:hAnsi="Times New Roman" w:cs="Times New Roman"/>
          <w:sz w:val="28"/>
          <w:szCs w:val="28"/>
        </w:rPr>
        <w:t xml:space="preserve"> 2 статьи 2 Закона автономного округа </w:t>
      </w:r>
      <w:r w:rsidR="00A91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A4961" w:rsidRPr="002346DE">
        <w:rPr>
          <w:rFonts w:ascii="Times New Roman" w:hAnsi="Times New Roman" w:cs="Times New Roman"/>
          <w:sz w:val="28"/>
          <w:szCs w:val="28"/>
        </w:rPr>
        <w:t>от 31.01.2011 №</w:t>
      </w:r>
      <w:r w:rsidR="00164A61">
        <w:rPr>
          <w:rFonts w:ascii="Times New Roman" w:hAnsi="Times New Roman" w:cs="Times New Roman"/>
          <w:sz w:val="28"/>
          <w:szCs w:val="28"/>
        </w:rPr>
        <w:t xml:space="preserve"> </w:t>
      </w:r>
      <w:r w:rsidR="00DA4961" w:rsidRPr="002346DE">
        <w:rPr>
          <w:rFonts w:ascii="Times New Roman" w:hAnsi="Times New Roman" w:cs="Times New Roman"/>
          <w:sz w:val="28"/>
          <w:szCs w:val="28"/>
        </w:rPr>
        <w:t>8-оз</w:t>
      </w:r>
      <w:r w:rsidR="00A9121E">
        <w:rPr>
          <w:rFonts w:ascii="Times New Roman" w:hAnsi="Times New Roman" w:cs="Times New Roman"/>
          <w:sz w:val="28"/>
          <w:szCs w:val="28"/>
        </w:rPr>
        <w:t xml:space="preserve"> </w:t>
      </w:r>
      <w:r w:rsidR="00DA4961" w:rsidRPr="002346DE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</w:t>
      </w:r>
      <w:r w:rsidR="00E335B3">
        <w:rPr>
          <w:rFonts w:ascii="Times New Roman" w:hAnsi="Times New Roman" w:cs="Times New Roman"/>
          <w:sz w:val="28"/>
          <w:szCs w:val="28"/>
        </w:rPr>
        <w:t xml:space="preserve"> </w:t>
      </w:r>
      <w:r w:rsidR="00A912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35B3">
        <w:rPr>
          <w:rFonts w:ascii="Times New Roman" w:hAnsi="Times New Roman" w:cs="Times New Roman"/>
          <w:sz w:val="28"/>
          <w:szCs w:val="28"/>
        </w:rPr>
        <w:t xml:space="preserve">– </w:t>
      </w:r>
      <w:r w:rsidR="00DA4961" w:rsidRPr="002346DE">
        <w:rPr>
          <w:rFonts w:ascii="Times New Roman" w:hAnsi="Times New Roman" w:cs="Times New Roman"/>
          <w:sz w:val="28"/>
          <w:szCs w:val="28"/>
        </w:rPr>
        <w:t xml:space="preserve">Югры отдельным государственным полномочием по участию </w:t>
      </w:r>
      <w:r w:rsidR="00A912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4961" w:rsidRPr="002346DE">
        <w:rPr>
          <w:rFonts w:ascii="Times New Roman" w:hAnsi="Times New Roman" w:cs="Times New Roman"/>
          <w:sz w:val="28"/>
          <w:szCs w:val="28"/>
        </w:rPr>
        <w:t>в реализации государственной программы Ханты-Мансийского автономного округа</w:t>
      </w:r>
      <w:r w:rsidR="00E335B3">
        <w:rPr>
          <w:rFonts w:ascii="Times New Roman" w:hAnsi="Times New Roman" w:cs="Times New Roman"/>
          <w:sz w:val="28"/>
          <w:szCs w:val="28"/>
        </w:rPr>
        <w:t xml:space="preserve"> – </w:t>
      </w:r>
      <w:r w:rsidR="00DA4961" w:rsidRPr="002346DE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proofErr w:type="gramEnd"/>
      <w:r w:rsidR="00DA4961" w:rsidRPr="002346DE">
        <w:rPr>
          <w:rFonts w:ascii="Times New Roman" w:hAnsi="Times New Roman" w:cs="Times New Roman"/>
          <w:sz w:val="28"/>
          <w:szCs w:val="28"/>
        </w:rPr>
        <w:t xml:space="preserve"> малочисленных народов Севера»</w:t>
      </w:r>
      <w:r w:rsidR="00DA4961">
        <w:rPr>
          <w:rFonts w:ascii="Times New Roman" w:hAnsi="Times New Roman" w:cs="Times New Roman"/>
          <w:sz w:val="28"/>
          <w:szCs w:val="28"/>
        </w:rPr>
        <w:t xml:space="preserve"> на 2021 – 2023 годы (</w:t>
      </w:r>
      <w:r w:rsidR="00DA4961" w:rsidRPr="00DA4961">
        <w:rPr>
          <w:rFonts w:ascii="Times New Roman" w:hAnsi="Times New Roman" w:cs="Times New Roman"/>
          <w:i/>
          <w:sz w:val="28"/>
          <w:szCs w:val="28"/>
        </w:rPr>
        <w:t xml:space="preserve">далее – письмо </w:t>
      </w:r>
      <w:proofErr w:type="spellStart"/>
      <w:r w:rsidR="00DA4961" w:rsidRPr="00DA4961">
        <w:rPr>
          <w:rFonts w:ascii="Times New Roman" w:hAnsi="Times New Roman" w:cs="Times New Roman"/>
          <w:i/>
          <w:sz w:val="28"/>
          <w:szCs w:val="28"/>
        </w:rPr>
        <w:t>Депнедра</w:t>
      </w:r>
      <w:proofErr w:type="spellEnd"/>
      <w:r w:rsidR="00DA4961" w:rsidRPr="00DA4961">
        <w:rPr>
          <w:rFonts w:ascii="Times New Roman" w:hAnsi="Times New Roman" w:cs="Times New Roman"/>
          <w:i/>
          <w:sz w:val="28"/>
          <w:szCs w:val="28"/>
        </w:rPr>
        <w:t xml:space="preserve"> и природ</w:t>
      </w:r>
      <w:r w:rsidR="00A9121E">
        <w:rPr>
          <w:rFonts w:ascii="Times New Roman" w:hAnsi="Times New Roman" w:cs="Times New Roman"/>
          <w:i/>
          <w:sz w:val="28"/>
          <w:szCs w:val="28"/>
        </w:rPr>
        <w:t xml:space="preserve">ных ресурсов Югры от 19.08.2020 </w:t>
      </w:r>
      <w:r w:rsidR="00DA4961" w:rsidRPr="00DA4961">
        <w:rPr>
          <w:rFonts w:ascii="Times New Roman" w:hAnsi="Times New Roman" w:cs="Times New Roman"/>
          <w:i/>
          <w:sz w:val="28"/>
          <w:szCs w:val="28"/>
        </w:rPr>
        <w:t>№ 12-Исх-21138</w:t>
      </w:r>
      <w:r w:rsidR="00DA4961">
        <w:rPr>
          <w:rFonts w:ascii="Times New Roman" w:hAnsi="Times New Roman" w:cs="Times New Roman"/>
          <w:sz w:val="28"/>
          <w:szCs w:val="28"/>
        </w:rPr>
        <w:t>).</w:t>
      </w:r>
    </w:p>
    <w:p w:rsidR="006E38CA" w:rsidRDefault="006E38CA" w:rsidP="006B04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</w:t>
      </w:r>
      <w:r w:rsidR="00642D19" w:rsidRPr="00642D19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2D19" w:rsidRPr="0064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D19" w:rsidRPr="00642D19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642D19" w:rsidRPr="00642D19">
        <w:rPr>
          <w:rFonts w:ascii="Times New Roman" w:hAnsi="Times New Roman" w:cs="Times New Roman"/>
          <w:sz w:val="28"/>
          <w:szCs w:val="28"/>
        </w:rPr>
        <w:t xml:space="preserve"> и природных ресурсов</w:t>
      </w:r>
      <w:r w:rsidR="00A9121E">
        <w:rPr>
          <w:rFonts w:ascii="Times New Roman" w:hAnsi="Times New Roman" w:cs="Times New Roman"/>
          <w:sz w:val="28"/>
          <w:szCs w:val="28"/>
        </w:rPr>
        <w:t xml:space="preserve"> – </w:t>
      </w:r>
      <w:r w:rsidR="00642D19" w:rsidRPr="00642D19">
        <w:rPr>
          <w:rFonts w:ascii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2D19" w:rsidRPr="00642D19">
        <w:rPr>
          <w:rFonts w:ascii="Times New Roman" w:hAnsi="Times New Roman" w:cs="Times New Roman"/>
          <w:sz w:val="28"/>
          <w:szCs w:val="28"/>
        </w:rPr>
        <w:t>от 19.08.2020 № 12-Исх-21138</w:t>
      </w:r>
      <w:r w:rsidR="00F716F6">
        <w:rPr>
          <w:rFonts w:ascii="Times New Roman" w:hAnsi="Times New Roman" w:cs="Times New Roman"/>
          <w:sz w:val="28"/>
          <w:szCs w:val="28"/>
        </w:rPr>
        <w:t xml:space="preserve"> указан</w:t>
      </w:r>
      <w:r>
        <w:rPr>
          <w:rFonts w:ascii="Times New Roman" w:hAnsi="Times New Roman" w:cs="Times New Roman"/>
          <w:sz w:val="28"/>
          <w:szCs w:val="28"/>
        </w:rPr>
        <w:t xml:space="preserve"> объем предоставляемой субвенции</w:t>
      </w:r>
      <w:r w:rsidR="00F716F6" w:rsidRPr="00F716F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расходов, а именно:</w:t>
      </w:r>
    </w:p>
    <w:p w:rsidR="00642D19" w:rsidRDefault="006E38CA" w:rsidP="006B04A6">
      <w:pPr>
        <w:spacing w:after="0"/>
        <w:ind w:firstLine="709"/>
        <w:contextualSpacing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60B">
        <w:rPr>
          <w:rFonts w:ascii="Times New Roman" w:hAnsi="Times New Roman" w:cs="Times New Roman"/>
          <w:sz w:val="28"/>
          <w:szCs w:val="28"/>
        </w:rPr>
        <w:t xml:space="preserve">- Мероприятие 48.10.02. «Объем субвенций на осуществление государственной поддержки юридических и физических лиц из числа коренных малочисленных народов, осуществляющих традиционную хозяйственную деятельность, </w:t>
      </w:r>
      <w:r w:rsidR="0073460B" w:rsidRPr="002346DE">
        <w:rPr>
          <w:rFonts w:ascii="Times New Roman" w:hAnsi="Times New Roman" w:cs="Times New Roman"/>
          <w:sz w:val="28"/>
          <w:szCs w:val="28"/>
        </w:rPr>
        <w:t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оленей»</w:t>
      </w:r>
      <w:r w:rsidR="0073460B">
        <w:rPr>
          <w:rFonts w:ascii="Times New Roman" w:hAnsi="Times New Roman" w:cs="Times New Roman"/>
          <w:sz w:val="28"/>
          <w:szCs w:val="28"/>
        </w:rPr>
        <w:t xml:space="preserve"> (2021 – 2 643,9 тыс. рублей; </w:t>
      </w:r>
      <w:proofErr w:type="gramStart"/>
      <w:r w:rsidR="0073460B">
        <w:rPr>
          <w:rFonts w:ascii="Times New Roman" w:hAnsi="Times New Roman" w:cs="Times New Roman"/>
          <w:sz w:val="28"/>
          <w:szCs w:val="28"/>
        </w:rPr>
        <w:t xml:space="preserve">2022 – </w:t>
      </w:r>
      <w:r w:rsidR="00A84077">
        <w:rPr>
          <w:rFonts w:ascii="Times New Roman" w:hAnsi="Times New Roman" w:cs="Times New Roman"/>
          <w:sz w:val="28"/>
          <w:szCs w:val="28"/>
        </w:rPr>
        <w:t xml:space="preserve">2 744,9 </w:t>
      </w:r>
      <w:r w:rsidR="0073460B">
        <w:rPr>
          <w:rFonts w:ascii="Times New Roman" w:hAnsi="Times New Roman" w:cs="Times New Roman"/>
          <w:sz w:val="28"/>
          <w:szCs w:val="28"/>
        </w:rPr>
        <w:t>тыс. рублей; 2023 – 2 770,2 тыс. рублей)</w:t>
      </w:r>
      <w:r w:rsidR="0073460B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proofErr w:type="gramEnd"/>
    </w:p>
    <w:p w:rsidR="0073460B" w:rsidRDefault="0073460B" w:rsidP="006B04A6">
      <w:pPr>
        <w:spacing w:after="0"/>
        <w:ind w:firstLine="709"/>
        <w:contextualSpacing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- Мероприятие 48.10.03 «Объем субвенций на субсидирование лимитируемой продукции охоты» </w:t>
      </w:r>
      <w:r>
        <w:rPr>
          <w:rFonts w:ascii="Times New Roman" w:hAnsi="Times New Roman" w:cs="Times New Roman"/>
          <w:sz w:val="28"/>
          <w:szCs w:val="28"/>
        </w:rPr>
        <w:t xml:space="preserve">(2021 – 1 088,0 тыс. рублей; </w:t>
      </w:r>
      <w:r w:rsidR="003C51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2022 – </w:t>
      </w:r>
      <w:r w:rsidR="00A84077">
        <w:rPr>
          <w:rFonts w:ascii="Times New Roman" w:hAnsi="Times New Roman" w:cs="Times New Roman"/>
          <w:sz w:val="28"/>
          <w:szCs w:val="28"/>
        </w:rPr>
        <w:t xml:space="preserve">1 088,0 </w:t>
      </w:r>
      <w:r>
        <w:rPr>
          <w:rFonts w:ascii="Times New Roman" w:hAnsi="Times New Roman" w:cs="Times New Roman"/>
          <w:sz w:val="28"/>
          <w:szCs w:val="28"/>
        </w:rPr>
        <w:t>тыс. рублей; 2023 – 1 088,0 тыс. рублей)</w:t>
      </w:r>
      <w:r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73460B" w:rsidRDefault="0073460B" w:rsidP="006B04A6">
      <w:pPr>
        <w:spacing w:after="0"/>
        <w:ind w:firstLine="709"/>
        <w:contextualSpacing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- Мероприятие 48.10.04 «Объем субвенций на </w:t>
      </w:r>
      <w:r w:rsidRPr="002346DE">
        <w:rPr>
          <w:rFonts w:ascii="Times New Roman" w:hAnsi="Times New Roman" w:cs="Times New Roman"/>
          <w:sz w:val="28"/>
          <w:szCs w:val="28"/>
        </w:rPr>
        <w:t>компенсацию   расходов на оплату обучения правилам безопасного обращения с оружием и проезда к месту нахождения организации, имеющей п</w:t>
      </w:r>
      <w:r>
        <w:rPr>
          <w:rFonts w:ascii="Times New Roman" w:hAnsi="Times New Roman" w:cs="Times New Roman"/>
          <w:sz w:val="28"/>
          <w:szCs w:val="28"/>
        </w:rPr>
        <w:t xml:space="preserve">раво проводить указанное обучение» (2021 – 9,9 тыс. рублей; 2022 – </w:t>
      </w:r>
      <w:r w:rsidR="00A84077">
        <w:rPr>
          <w:rFonts w:ascii="Times New Roman" w:hAnsi="Times New Roman" w:cs="Times New Roman"/>
          <w:sz w:val="28"/>
          <w:szCs w:val="28"/>
        </w:rPr>
        <w:t xml:space="preserve">9,9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3C51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2023 – 9,9 тыс. рублей);</w:t>
      </w:r>
    </w:p>
    <w:p w:rsidR="0073460B" w:rsidRPr="00642D19" w:rsidRDefault="0073460B" w:rsidP="006B04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Мероприятие 48.10.02 «Объем субвенций на содержание органов местного самоуправления, осуществляющих переданное отдельное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полномочие» (2021 – 60,7 тыс. рублей; </w:t>
      </w:r>
      <w:r w:rsidR="003C51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2022 – </w:t>
      </w:r>
      <w:r w:rsidR="00A84077">
        <w:rPr>
          <w:rFonts w:ascii="Times New Roman" w:hAnsi="Times New Roman" w:cs="Times New Roman"/>
          <w:sz w:val="28"/>
          <w:szCs w:val="28"/>
        </w:rPr>
        <w:t xml:space="preserve">60,7 </w:t>
      </w:r>
      <w:r>
        <w:rPr>
          <w:rFonts w:ascii="Times New Roman" w:hAnsi="Times New Roman" w:cs="Times New Roman"/>
          <w:sz w:val="28"/>
          <w:szCs w:val="28"/>
        </w:rPr>
        <w:t>тыс. рублей; 2023 – 60,7 тыс. рублей).</w:t>
      </w:r>
    </w:p>
    <w:p w:rsidR="00B46C70" w:rsidRDefault="00E66E1C" w:rsidP="006B04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программы, </w:t>
      </w:r>
      <w:r w:rsidR="00B46C70">
        <w:rPr>
          <w:rFonts w:ascii="Times New Roman" w:hAnsi="Times New Roman" w:cs="Times New Roman"/>
          <w:sz w:val="28"/>
          <w:szCs w:val="28"/>
        </w:rPr>
        <w:t xml:space="preserve">содержит следующие мероприятия, реализация </w:t>
      </w:r>
      <w:r>
        <w:rPr>
          <w:rFonts w:ascii="Times New Roman" w:hAnsi="Times New Roman" w:cs="Times New Roman"/>
          <w:sz w:val="28"/>
          <w:szCs w:val="28"/>
        </w:rPr>
        <w:t xml:space="preserve">которых предусмотрена за счет средств окружного бюджета: </w:t>
      </w:r>
    </w:p>
    <w:p w:rsidR="00B46C70" w:rsidRDefault="00B46C70" w:rsidP="006B04A6">
      <w:pPr>
        <w:pStyle w:val="ConsPlusNormal"/>
        <w:spacing w:line="276" w:lineRule="auto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Par454" w:history="1">
        <w:r w:rsidR="00E66E1C" w:rsidRPr="002346D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E66E1C" w:rsidRPr="002346DE">
        <w:rPr>
          <w:rFonts w:ascii="Times New Roman" w:hAnsi="Times New Roman" w:cs="Times New Roman"/>
          <w:sz w:val="28"/>
          <w:szCs w:val="28"/>
        </w:rPr>
        <w:t>.1. «Поддержка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оленей»</w:t>
      </w:r>
      <w:r>
        <w:rPr>
          <w:rFonts w:ascii="Times New Roman" w:hAnsi="Times New Roman" w:cs="Times New Roman"/>
          <w:sz w:val="28"/>
          <w:szCs w:val="28"/>
        </w:rPr>
        <w:t xml:space="preserve"> (2021 – 2 704,6 тыс. рублей; 2022 – 2 805,6 тыс. рублей; 2023 – 2 830,9 тыс. рублей)</w:t>
      </w:r>
      <w:r w:rsidR="00F716F6">
        <w:rPr>
          <w:rFonts w:ascii="Times New Roman" w:hAnsi="Times New Roman" w:cs="Times New Roman"/>
          <w:sz w:val="28"/>
          <w:szCs w:val="28"/>
        </w:rPr>
        <w:t>,</w:t>
      </w:r>
      <w:r w:rsidR="00E66E1C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B46C70" w:rsidRDefault="00B46C70" w:rsidP="006B04A6">
      <w:pPr>
        <w:pStyle w:val="ConsPlusNormal"/>
        <w:spacing w:line="276" w:lineRule="auto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E66E1C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1.2. </w:t>
      </w:r>
      <w:r w:rsidR="00E66E1C" w:rsidRPr="002346DE">
        <w:rPr>
          <w:rFonts w:ascii="Times New Roman" w:hAnsi="Times New Roman" w:cs="Times New Roman"/>
          <w:sz w:val="28"/>
          <w:szCs w:val="28"/>
        </w:rPr>
        <w:t>«Поддержка на лимитируемую продукцию охоты»</w:t>
      </w:r>
      <w:r w:rsidRPr="00B46C70">
        <w:rPr>
          <w:rFonts w:ascii="Times New Roman" w:hAnsi="Times New Roman" w:cs="Times New Roman"/>
          <w:sz w:val="28"/>
          <w:szCs w:val="28"/>
        </w:rPr>
        <w:t xml:space="preserve"> </w:t>
      </w:r>
      <w:r w:rsidR="009515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(2021 – 1 088,0 тыс. рублей; 2022 – 1 088,0 тыс. рублей; 2023 – 1 088,0                                  тыс. рублей)</w:t>
      </w:r>
      <w:r w:rsidR="00E66E1C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E66E1C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F716F6" w:rsidRDefault="00B46C70" w:rsidP="006B04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E66E1C" w:rsidRPr="002346DE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1.3. </w:t>
      </w:r>
      <w:r w:rsidR="00E66E1C" w:rsidRPr="002346DE">
        <w:rPr>
          <w:rFonts w:ascii="Times New Roman" w:hAnsi="Times New Roman" w:cs="Times New Roman"/>
          <w:sz w:val="28"/>
          <w:szCs w:val="28"/>
        </w:rPr>
        <w:t>«Поддержка на компенсацию расходов на оплату обучения правилам безопасного обращения с оружием и проезда к месту нахождения организации, имеющей п</w:t>
      </w:r>
      <w:r w:rsidR="00E66E1C">
        <w:rPr>
          <w:rFonts w:ascii="Times New Roman" w:hAnsi="Times New Roman" w:cs="Times New Roman"/>
          <w:sz w:val="28"/>
          <w:szCs w:val="28"/>
        </w:rPr>
        <w:t xml:space="preserve">раво проводить подготовку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6E1C" w:rsidRPr="002346DE">
        <w:rPr>
          <w:rFonts w:ascii="Times New Roman" w:hAnsi="Times New Roman" w:cs="Times New Roman"/>
          <w:sz w:val="28"/>
          <w:szCs w:val="28"/>
        </w:rPr>
        <w:t>в целях изучен</w:t>
      </w:r>
      <w:r>
        <w:rPr>
          <w:rFonts w:ascii="Times New Roman" w:hAnsi="Times New Roman" w:cs="Times New Roman"/>
          <w:sz w:val="28"/>
          <w:szCs w:val="28"/>
        </w:rPr>
        <w:t xml:space="preserve">ия правил безопасного обращения </w:t>
      </w:r>
      <w:r w:rsidR="00E66E1C" w:rsidRPr="002346DE">
        <w:rPr>
          <w:rFonts w:ascii="Times New Roman" w:hAnsi="Times New Roman" w:cs="Times New Roman"/>
          <w:sz w:val="28"/>
          <w:szCs w:val="28"/>
        </w:rPr>
        <w:t>с оружием»</w:t>
      </w:r>
      <w:r w:rsidRPr="00B46C70">
        <w:rPr>
          <w:rFonts w:ascii="Times New Roman" w:hAnsi="Times New Roman" w:cs="Times New Roman"/>
          <w:sz w:val="28"/>
          <w:szCs w:val="28"/>
        </w:rPr>
        <w:t xml:space="preserve"> </w:t>
      </w:r>
      <w:r w:rsidR="000F7E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(2021</w:t>
      </w:r>
      <w:r w:rsidR="000F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9,9 тыс. рублей; 2022 – 9,9 тыс. рублей; 2023 – 9,9 тыс. рублей)</w:t>
      </w:r>
      <w:r w:rsidR="00F716F6">
        <w:rPr>
          <w:rFonts w:ascii="Times New Roman" w:hAnsi="Times New Roman" w:cs="Times New Roman"/>
          <w:sz w:val="28"/>
          <w:szCs w:val="28"/>
        </w:rPr>
        <w:t>.</w:t>
      </w:r>
    </w:p>
    <w:p w:rsidR="0045516C" w:rsidRDefault="00B72A42" w:rsidP="006B04A6">
      <w:pPr>
        <w:pStyle w:val="ConsPlusNormal"/>
        <w:spacing w:line="276" w:lineRule="auto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C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E23D2" w:rsidRDefault="00E66E1C" w:rsidP="006B04A6">
      <w:pPr>
        <w:pStyle w:val="ConsPlusNormal"/>
        <w:spacing w:line="276" w:lineRule="auto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CA7175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Контрольно-счетная палата обращает внимание на несоответствие объема средств, предусмотренного </w:t>
      </w:r>
      <w:r w:rsidR="00F716F6" w:rsidRPr="003B279E">
        <w:rPr>
          <w:rFonts w:ascii="Times New Roman" w:hAnsi="Times New Roman" w:cs="Times New Roman"/>
          <w:i/>
          <w:sz w:val="28"/>
          <w:szCs w:val="28"/>
        </w:rPr>
        <w:t>письм</w:t>
      </w:r>
      <w:r w:rsidR="00D574A5">
        <w:rPr>
          <w:rFonts w:ascii="Times New Roman" w:hAnsi="Times New Roman" w:cs="Times New Roman"/>
          <w:i/>
          <w:sz w:val="28"/>
          <w:szCs w:val="28"/>
        </w:rPr>
        <w:t>ом</w:t>
      </w:r>
      <w:r w:rsidR="00F716F6" w:rsidRPr="003B27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16F6" w:rsidRPr="003B279E">
        <w:rPr>
          <w:rFonts w:ascii="Times New Roman" w:hAnsi="Times New Roman" w:cs="Times New Roman"/>
          <w:i/>
          <w:sz w:val="28"/>
          <w:szCs w:val="28"/>
        </w:rPr>
        <w:t>Депнедр</w:t>
      </w:r>
      <w:r w:rsidR="00D574A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CA7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6F6" w:rsidRPr="003B279E">
        <w:rPr>
          <w:rFonts w:ascii="Times New Roman" w:hAnsi="Times New Roman" w:cs="Times New Roman"/>
          <w:i/>
          <w:sz w:val="28"/>
          <w:szCs w:val="28"/>
        </w:rPr>
        <w:t>и природных ресурсов Югры</w:t>
      </w:r>
      <w:r w:rsidR="00CA7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6F6" w:rsidRPr="003B279E">
        <w:rPr>
          <w:rFonts w:ascii="Times New Roman" w:hAnsi="Times New Roman" w:cs="Times New Roman"/>
          <w:i/>
          <w:sz w:val="28"/>
          <w:szCs w:val="28"/>
        </w:rPr>
        <w:t>от 19.08.2020 № 12-Исх-21138</w:t>
      </w:r>
      <w:r w:rsidR="00CA7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175" w:rsidRPr="00CA7175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CA7175">
        <w:rPr>
          <w:rFonts w:ascii="Times New Roman" w:hAnsi="Times New Roman" w:cs="Times New Roman"/>
          <w:sz w:val="28"/>
          <w:szCs w:val="28"/>
        </w:rPr>
        <w:t xml:space="preserve">«Объем субвенций на осуществление государственной поддержки юридических </w:t>
      </w:r>
      <w:r w:rsidR="002E23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7175">
        <w:rPr>
          <w:rFonts w:ascii="Times New Roman" w:hAnsi="Times New Roman" w:cs="Times New Roman"/>
          <w:sz w:val="28"/>
          <w:szCs w:val="28"/>
        </w:rPr>
        <w:t xml:space="preserve">и физических лиц из числа коренных малочисленных народов, осуществляющих традиционную хозяйственную деятельность, </w:t>
      </w:r>
      <w:r w:rsidR="002E23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7175" w:rsidRPr="002346DE">
        <w:rPr>
          <w:rFonts w:ascii="Times New Roman" w:hAnsi="Times New Roman" w:cs="Times New Roman"/>
          <w:sz w:val="28"/>
          <w:szCs w:val="28"/>
        </w:rPr>
        <w:t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</w:t>
      </w:r>
      <w:proofErr w:type="gramEnd"/>
      <w:r w:rsidR="00CA7175" w:rsidRPr="002346DE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2E23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7175" w:rsidRPr="002346DE">
        <w:rPr>
          <w:rFonts w:ascii="Times New Roman" w:hAnsi="Times New Roman" w:cs="Times New Roman"/>
          <w:sz w:val="28"/>
          <w:szCs w:val="28"/>
        </w:rPr>
        <w:t xml:space="preserve"> на приобретение северных оленей»</w:t>
      </w:r>
      <w:r w:rsidR="00CA7175">
        <w:rPr>
          <w:rFonts w:ascii="Times New Roman" w:hAnsi="Times New Roman" w:cs="Times New Roman"/>
          <w:sz w:val="28"/>
          <w:szCs w:val="28"/>
        </w:rPr>
        <w:t xml:space="preserve"> </w:t>
      </w:r>
      <w:r w:rsidR="002E23D2">
        <w:rPr>
          <w:rFonts w:ascii="Times New Roman" w:hAnsi="Times New Roman" w:cs="Times New Roman"/>
          <w:sz w:val="28"/>
          <w:szCs w:val="28"/>
        </w:rPr>
        <w:t xml:space="preserve">(2021 – 2 643,9 тыс. рублей; </w:t>
      </w:r>
      <w:r w:rsidR="003B55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23D2">
        <w:rPr>
          <w:rFonts w:ascii="Times New Roman" w:hAnsi="Times New Roman" w:cs="Times New Roman"/>
          <w:sz w:val="28"/>
          <w:szCs w:val="28"/>
        </w:rPr>
        <w:t>2022 – 2 744,9 тыс. рублей; 2023 – 2 770,2 тыс. рублей) и объемом, предусмотренным мероприятием Программы</w:t>
      </w:r>
      <w:r w:rsidR="00CA717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anchor="Par454" w:history="1">
        <w:r w:rsidR="002E23D2" w:rsidRPr="002346D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2E23D2" w:rsidRPr="002346DE">
        <w:rPr>
          <w:rFonts w:ascii="Times New Roman" w:hAnsi="Times New Roman" w:cs="Times New Roman"/>
          <w:sz w:val="28"/>
          <w:szCs w:val="28"/>
        </w:rPr>
        <w:t xml:space="preserve">.1. «Поддержка </w:t>
      </w:r>
      <w:r w:rsidR="002E23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23D2" w:rsidRPr="002346DE">
        <w:rPr>
          <w:rFonts w:ascii="Times New Roman" w:hAnsi="Times New Roman" w:cs="Times New Roman"/>
          <w:sz w:val="28"/>
          <w:szCs w:val="28"/>
        </w:rPr>
        <w:t xml:space="preserve"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</w:t>
      </w:r>
      <w:r w:rsidR="002E23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23D2" w:rsidRPr="002346DE">
        <w:rPr>
          <w:rFonts w:ascii="Times New Roman" w:hAnsi="Times New Roman" w:cs="Times New Roman"/>
          <w:sz w:val="28"/>
          <w:szCs w:val="28"/>
        </w:rPr>
        <w:t>на приобретение северных оленей»</w:t>
      </w:r>
      <w:r w:rsidR="002E23D2">
        <w:rPr>
          <w:rFonts w:ascii="Times New Roman" w:hAnsi="Times New Roman" w:cs="Times New Roman"/>
          <w:sz w:val="28"/>
          <w:szCs w:val="28"/>
        </w:rPr>
        <w:t xml:space="preserve"> (2021 – 2 704,6 тыс. рублей;                         </w:t>
      </w:r>
      <w:r w:rsidR="002E23D2">
        <w:rPr>
          <w:rFonts w:ascii="Times New Roman" w:hAnsi="Times New Roman" w:cs="Times New Roman"/>
          <w:sz w:val="28"/>
          <w:szCs w:val="28"/>
        </w:rPr>
        <w:lastRenderedPageBreak/>
        <w:t>2022 – 2 805,6 тыс. рублей; 2023 – 2 830,9 тыс. рублей).</w:t>
      </w:r>
      <w:r w:rsidR="00715D5D">
        <w:rPr>
          <w:rFonts w:ascii="Times New Roman" w:hAnsi="Times New Roman" w:cs="Times New Roman"/>
          <w:sz w:val="28"/>
          <w:szCs w:val="28"/>
        </w:rPr>
        <w:t xml:space="preserve"> В адрес контрольно-счетной палаты, соответствующие пояснения                                    не представлены.</w:t>
      </w:r>
    </w:p>
    <w:p w:rsidR="00E54C80" w:rsidRPr="00150AD3" w:rsidRDefault="002A66AF" w:rsidP="006B04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 на</w:t>
      </w:r>
      <w:r w:rsidR="00433AC5">
        <w:rPr>
          <w:rFonts w:ascii="Times New Roman" w:hAnsi="Times New Roman" w:cs="Times New Roman"/>
          <w:sz w:val="28"/>
          <w:szCs w:val="28"/>
        </w:rPr>
        <w:t xml:space="preserve"> некорректность </w:t>
      </w:r>
      <w:r>
        <w:rPr>
          <w:rFonts w:ascii="Times New Roman" w:hAnsi="Times New Roman" w:cs="Times New Roman"/>
          <w:sz w:val="28"/>
          <w:szCs w:val="28"/>
        </w:rPr>
        <w:t>увязки мероприятия 1.4. «</w:t>
      </w:r>
      <w:r w:rsidRPr="002346DE">
        <w:rPr>
          <w:rFonts w:ascii="Times New Roman" w:hAnsi="Times New Roman" w:cs="Times New Roman"/>
          <w:sz w:val="28"/>
          <w:szCs w:val="28"/>
        </w:rPr>
        <w:t>Организация, проведение мероприятий, направленных на развитие традиционной хозяйственной деятельности, и участие в них</w:t>
      </w:r>
      <w:r>
        <w:rPr>
          <w:rFonts w:ascii="Times New Roman" w:hAnsi="Times New Roman" w:cs="Times New Roman"/>
          <w:sz w:val="28"/>
          <w:szCs w:val="28"/>
        </w:rPr>
        <w:t xml:space="preserve"> (показатель 2)» Проекта программы с целевым показателем 2. </w:t>
      </w:r>
      <w:r w:rsidRPr="002A66AF">
        <w:rPr>
          <w:rFonts w:ascii="Times New Roman" w:hAnsi="Times New Roman" w:cs="Times New Roman"/>
          <w:sz w:val="28"/>
          <w:szCs w:val="28"/>
        </w:rPr>
        <w:t>«</w:t>
      </w:r>
      <w:r w:rsidRPr="002A66A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Доля национальных общин </w:t>
      </w:r>
      <w:r w:rsidR="00E54C8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</w:t>
      </w:r>
      <w:r w:rsidRPr="002A66A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</w:t>
      </w:r>
      <w:proofErr w:type="gramStart"/>
      <w:r w:rsidRPr="002A66A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%»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proofErr w:type="gramEnd"/>
      <w:r w:rsidRPr="002A66AF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что </w:t>
      </w:r>
      <w:r w:rsidR="00433AC5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в свою очередь                                 </w:t>
      </w:r>
      <w:r w:rsidRPr="002A66AF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не соответствует </w:t>
      </w:r>
      <w:r>
        <w:rPr>
          <w:rFonts w:ascii="Times New Roman" w:hAnsi="Times New Roman" w:cs="Times New Roman"/>
          <w:i/>
          <w:sz w:val="28"/>
          <w:szCs w:val="28"/>
        </w:rPr>
        <w:t>постановлению</w:t>
      </w:r>
      <w:r w:rsidRPr="002A66AF">
        <w:rPr>
          <w:rFonts w:ascii="Times New Roman" w:hAnsi="Times New Roman" w:cs="Times New Roman"/>
          <w:i/>
          <w:sz w:val="28"/>
          <w:szCs w:val="28"/>
        </w:rPr>
        <w:t xml:space="preserve"> администрации Ханты-Мансийского района от 07.09.2018 № 246.</w:t>
      </w:r>
      <w:r w:rsidR="00E54C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8E4" w:rsidRPr="0067547A" w:rsidRDefault="001168E4" w:rsidP="006B04A6">
      <w:pPr>
        <w:spacing w:after="0"/>
        <w:ind w:firstLine="709"/>
        <w:jc w:val="both"/>
        <w:rPr>
          <w:rStyle w:val="x1a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подтверждение финансово-экономического обоснования расходных обязательств</w:t>
      </w:r>
      <w:r w:rsidRPr="00357960">
        <w:rPr>
          <w:rStyle w:val="x1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x1a"/>
          <w:rFonts w:ascii="Times New Roman" w:hAnsi="Times New Roman" w:cs="Times New Roman"/>
          <w:sz w:val="28"/>
          <w:szCs w:val="28"/>
        </w:rPr>
        <w:t>(</w:t>
      </w:r>
      <w:r w:rsidRPr="00357960">
        <w:rPr>
          <w:rStyle w:val="x1a"/>
          <w:rFonts w:ascii="Times New Roman" w:hAnsi="Times New Roman" w:cs="Times New Roman"/>
          <w:sz w:val="28"/>
          <w:szCs w:val="28"/>
        </w:rPr>
        <w:t xml:space="preserve">пункт 4.9. </w:t>
      </w:r>
      <w:r w:rsidRPr="00357960">
        <w:rPr>
          <w:rFonts w:ascii="Times New Roman" w:hAnsi="Times New Roman" w:cs="Times New Roman"/>
          <w:sz w:val="28"/>
          <w:szCs w:val="28"/>
        </w:rPr>
        <w:t>раздела 4.</w:t>
      </w:r>
      <w:proofErr w:type="gramEnd"/>
      <w:r w:rsidRPr="00357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52D">
        <w:rPr>
          <w:rFonts w:ascii="Times New Roman" w:hAnsi="Times New Roman" w:cs="Times New Roman"/>
          <w:sz w:val="28"/>
          <w:szCs w:val="28"/>
        </w:rPr>
        <w:t xml:space="preserve">«Экспертиза и согласование </w:t>
      </w:r>
      <w:r w:rsidRPr="0080243F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программы» постановления администрации Ханты-Мансийского района от 07.09.2018 № 246) </w:t>
      </w:r>
      <w:r>
        <w:rPr>
          <w:rFonts w:ascii="Times New Roman" w:hAnsi="Times New Roman" w:cs="Times New Roman"/>
          <w:sz w:val="28"/>
          <w:szCs w:val="28"/>
        </w:rPr>
        <w:t>мероприятия 1.4.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346DE">
        <w:rPr>
          <w:rFonts w:ascii="Times New Roman" w:hAnsi="Times New Roman" w:cs="Times New Roman"/>
          <w:sz w:val="28"/>
          <w:szCs w:val="28"/>
        </w:rPr>
        <w:t>Организация, проведение мероприятий, направленных на развитие традиционной хозяйственной деятельности, и участие в них</w:t>
      </w:r>
      <w:r>
        <w:rPr>
          <w:rFonts w:ascii="Times New Roman" w:hAnsi="Times New Roman" w:cs="Times New Roman"/>
          <w:sz w:val="28"/>
          <w:szCs w:val="28"/>
        </w:rPr>
        <w:t>» Проекта программы</w:t>
      </w:r>
      <w:r w:rsidRPr="0080243F">
        <w:rPr>
          <w:rStyle w:val="x1a"/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Style w:val="x1a"/>
          <w:rFonts w:ascii="Times New Roman" w:hAnsi="Times New Roman" w:cs="Times New Roman"/>
          <w:sz w:val="28"/>
          <w:szCs w:val="28"/>
        </w:rPr>
        <w:t>а смета рас</w:t>
      </w:r>
      <w:r w:rsidR="00772B24">
        <w:rPr>
          <w:rStyle w:val="x1a"/>
          <w:rFonts w:ascii="Times New Roman" w:hAnsi="Times New Roman" w:cs="Times New Roman"/>
          <w:sz w:val="28"/>
          <w:szCs w:val="28"/>
        </w:rPr>
        <w:t>ходов на организацию, проведение</w:t>
      </w:r>
      <w:r>
        <w:rPr>
          <w:rStyle w:val="x1a"/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традиционной хозяйственной деятельности, и участие в них</w:t>
      </w:r>
      <w:r w:rsidR="00C430F9">
        <w:rPr>
          <w:rStyle w:val="x1a"/>
          <w:rFonts w:ascii="Times New Roman" w:hAnsi="Times New Roman" w:cs="Times New Roman"/>
          <w:sz w:val="28"/>
          <w:szCs w:val="28"/>
        </w:rPr>
        <w:t xml:space="preserve">, </w:t>
      </w:r>
      <w:r w:rsidR="00772B24">
        <w:rPr>
          <w:rStyle w:val="x1a"/>
          <w:rFonts w:ascii="Times New Roman" w:hAnsi="Times New Roman" w:cs="Times New Roman"/>
          <w:sz w:val="28"/>
          <w:szCs w:val="28"/>
        </w:rPr>
        <w:t xml:space="preserve">при этом </w:t>
      </w:r>
      <w:r w:rsidR="00D03ACF">
        <w:rPr>
          <w:rStyle w:val="x1a"/>
          <w:rFonts w:ascii="Times New Roman" w:hAnsi="Times New Roman" w:cs="Times New Roman"/>
          <w:sz w:val="28"/>
          <w:szCs w:val="28"/>
        </w:rPr>
        <w:t xml:space="preserve">обоснование </w:t>
      </w:r>
      <w:r w:rsidR="00714380">
        <w:rPr>
          <w:rStyle w:val="x1a"/>
          <w:rFonts w:ascii="Times New Roman" w:hAnsi="Times New Roman" w:cs="Times New Roman"/>
          <w:sz w:val="28"/>
          <w:szCs w:val="28"/>
        </w:rPr>
        <w:t xml:space="preserve">каким образом сформирован предельный объем </w:t>
      </w:r>
      <w:r>
        <w:rPr>
          <w:rStyle w:val="x1a"/>
          <w:rFonts w:ascii="Times New Roman" w:hAnsi="Times New Roman" w:cs="Times New Roman"/>
          <w:sz w:val="28"/>
          <w:szCs w:val="28"/>
        </w:rPr>
        <w:t>расходов</w:t>
      </w:r>
      <w:r w:rsidR="00714380">
        <w:rPr>
          <w:rStyle w:val="x1a"/>
          <w:rFonts w:ascii="Times New Roman" w:hAnsi="Times New Roman" w:cs="Times New Roman"/>
          <w:sz w:val="28"/>
          <w:szCs w:val="28"/>
        </w:rPr>
        <w:t>,</w:t>
      </w:r>
      <w:r>
        <w:rPr>
          <w:rStyle w:val="x1a"/>
          <w:rFonts w:ascii="Times New Roman" w:hAnsi="Times New Roman" w:cs="Times New Roman"/>
          <w:sz w:val="28"/>
          <w:szCs w:val="28"/>
        </w:rPr>
        <w:t xml:space="preserve"> указанных в смете</w:t>
      </w:r>
      <w:r w:rsidR="00D03ACF">
        <w:rPr>
          <w:rStyle w:val="x1a"/>
          <w:rFonts w:ascii="Times New Roman" w:hAnsi="Times New Roman" w:cs="Times New Roman"/>
          <w:sz w:val="28"/>
          <w:szCs w:val="28"/>
        </w:rPr>
        <w:t>,</w:t>
      </w:r>
      <w:r>
        <w:rPr>
          <w:rStyle w:val="x1a"/>
          <w:rFonts w:ascii="Times New Roman" w:hAnsi="Times New Roman" w:cs="Times New Roman"/>
          <w:sz w:val="28"/>
          <w:szCs w:val="28"/>
        </w:rPr>
        <w:t xml:space="preserve"> </w:t>
      </w:r>
      <w:r w:rsidR="00D03ACF">
        <w:rPr>
          <w:rStyle w:val="x1a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4380">
        <w:rPr>
          <w:rStyle w:val="x1a"/>
          <w:rFonts w:ascii="Times New Roman" w:hAnsi="Times New Roman" w:cs="Times New Roman"/>
          <w:sz w:val="28"/>
          <w:szCs w:val="28"/>
        </w:rPr>
        <w:t xml:space="preserve">на рассмотрение экспертно-аналитическим мероприятием </w:t>
      </w:r>
      <w:r w:rsidR="00D03ACF">
        <w:rPr>
          <w:rStyle w:val="x1a"/>
          <w:rFonts w:ascii="Times New Roman" w:hAnsi="Times New Roman" w:cs="Times New Roman"/>
          <w:sz w:val="28"/>
          <w:szCs w:val="28"/>
        </w:rPr>
        <w:t xml:space="preserve">                                  не предо</w:t>
      </w:r>
      <w:r>
        <w:rPr>
          <w:rStyle w:val="x1a"/>
          <w:rFonts w:ascii="Times New Roman" w:hAnsi="Times New Roman" w:cs="Times New Roman"/>
          <w:sz w:val="28"/>
          <w:szCs w:val="28"/>
        </w:rPr>
        <w:t xml:space="preserve">ставлено, </w:t>
      </w:r>
      <w:r w:rsidRPr="0080243F">
        <w:rPr>
          <w:rStyle w:val="x1a"/>
          <w:rFonts w:ascii="Times New Roman" w:hAnsi="Times New Roman" w:cs="Times New Roman"/>
          <w:sz w:val="28"/>
          <w:szCs w:val="28"/>
        </w:rPr>
        <w:t>в этой связи определить объективность данных расходов не представилось возможным.</w:t>
      </w:r>
      <w:proofErr w:type="gramEnd"/>
    </w:p>
    <w:p w:rsidR="007C7455" w:rsidRDefault="001B1271" w:rsidP="006B04A6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обращает внимание </w:t>
      </w:r>
      <w:r w:rsidR="00BE31C6">
        <w:rPr>
          <w:sz w:val="28"/>
          <w:szCs w:val="28"/>
        </w:rPr>
        <w:t xml:space="preserve">о </w:t>
      </w:r>
      <w:r>
        <w:rPr>
          <w:sz w:val="28"/>
          <w:szCs w:val="28"/>
        </w:rPr>
        <w:t>необходимост</w:t>
      </w:r>
      <w:r w:rsidR="00BE31C6">
        <w:rPr>
          <w:sz w:val="28"/>
          <w:szCs w:val="28"/>
        </w:rPr>
        <w:t>и</w:t>
      </w:r>
      <w:r>
        <w:rPr>
          <w:sz w:val="28"/>
          <w:szCs w:val="28"/>
        </w:rPr>
        <w:t xml:space="preserve"> включения соисполнителя Программы в случаях</w:t>
      </w:r>
      <w:r w:rsidR="002940EC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реализация </w:t>
      </w:r>
      <w:r w:rsidR="002940EC">
        <w:rPr>
          <w:sz w:val="28"/>
          <w:szCs w:val="28"/>
        </w:rPr>
        <w:t xml:space="preserve">мероприятия </w:t>
      </w:r>
      <w:r w:rsidR="007C7455">
        <w:rPr>
          <w:sz w:val="28"/>
          <w:szCs w:val="28"/>
        </w:rPr>
        <w:t xml:space="preserve">Программы </w:t>
      </w:r>
      <w:r w:rsidR="002940EC">
        <w:rPr>
          <w:sz w:val="28"/>
          <w:szCs w:val="28"/>
        </w:rPr>
        <w:t>осуществляется посредствам привлечения учреждения</w:t>
      </w:r>
      <w:r w:rsidR="0069578F">
        <w:rPr>
          <w:sz w:val="28"/>
          <w:szCs w:val="28"/>
        </w:rPr>
        <w:t>, в том числе путем заключения соглашения на предоставление субсидии на иные цели.</w:t>
      </w:r>
    </w:p>
    <w:p w:rsidR="006B0BAF" w:rsidRDefault="00DC1837" w:rsidP="006B04A6">
      <w:pPr>
        <w:pStyle w:val="af0"/>
        <w:spacing w:after="0" w:afterAutospacing="0" w:line="276" w:lineRule="auto"/>
        <w:rPr>
          <w:i/>
          <w:sz w:val="28"/>
          <w:szCs w:val="28"/>
          <w:u w:val="single"/>
        </w:rPr>
      </w:pPr>
      <w:r>
        <w:t> </w:t>
      </w:r>
      <w:r w:rsidR="00A15F4A">
        <w:tab/>
      </w:r>
      <w:r w:rsidR="006B0BAF" w:rsidRPr="002346DE">
        <w:rPr>
          <w:i/>
          <w:sz w:val="28"/>
          <w:szCs w:val="28"/>
          <w:u w:val="single"/>
        </w:rPr>
        <w:t>Контрольно-счетная палата рекомендует:</w:t>
      </w:r>
    </w:p>
    <w:p w:rsidR="008C2E77" w:rsidRDefault="008C2E77" w:rsidP="006B0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C2E77">
        <w:rPr>
          <w:rFonts w:ascii="Times New Roman" w:hAnsi="Times New Roman" w:cs="Times New Roman"/>
          <w:sz w:val="28"/>
          <w:szCs w:val="28"/>
        </w:rPr>
        <w:t>рассмотреть вопрос о корректировке мероприятий, реализация которых предусмотрена за счет средств окружного бюджета</w:t>
      </w:r>
      <w:r w:rsidR="00693621">
        <w:rPr>
          <w:rFonts w:ascii="Times New Roman" w:hAnsi="Times New Roman" w:cs="Times New Roman"/>
          <w:sz w:val="28"/>
          <w:szCs w:val="28"/>
        </w:rPr>
        <w:t>,</w:t>
      </w:r>
      <w:r w:rsidRPr="008C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C2E77">
        <w:rPr>
          <w:rFonts w:ascii="Times New Roman" w:hAnsi="Times New Roman" w:cs="Times New Roman"/>
          <w:sz w:val="28"/>
          <w:szCs w:val="28"/>
        </w:rPr>
        <w:t>в соответствии с письмо</w:t>
      </w:r>
      <w:r w:rsidR="000F697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0F6976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0F6976">
        <w:rPr>
          <w:rFonts w:ascii="Times New Roman" w:hAnsi="Times New Roman" w:cs="Times New Roman"/>
          <w:sz w:val="28"/>
          <w:szCs w:val="28"/>
        </w:rPr>
        <w:t xml:space="preserve"> и природных ресурсов – </w:t>
      </w:r>
      <w:r w:rsidRPr="008C2E77">
        <w:rPr>
          <w:rFonts w:ascii="Times New Roman" w:hAnsi="Times New Roman" w:cs="Times New Roman"/>
          <w:sz w:val="28"/>
          <w:szCs w:val="28"/>
        </w:rPr>
        <w:t>Югры                   от 19.08.2020 № 12-Исх-21138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E77" w:rsidRPr="008C2E77" w:rsidRDefault="008C2E77" w:rsidP="006B0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скорректировать увязку мероприятия 1.4. «</w:t>
      </w:r>
      <w:r w:rsidRPr="002346DE">
        <w:rPr>
          <w:rFonts w:ascii="Times New Roman" w:hAnsi="Times New Roman" w:cs="Times New Roman"/>
          <w:sz w:val="28"/>
          <w:szCs w:val="28"/>
        </w:rPr>
        <w:t>Организация, проведение мероприятий, направленных на развитие традиционной хозяйственной деятельности, и участие в них</w:t>
      </w:r>
      <w:r>
        <w:rPr>
          <w:rFonts w:ascii="Times New Roman" w:hAnsi="Times New Roman" w:cs="Times New Roman"/>
          <w:sz w:val="28"/>
          <w:szCs w:val="28"/>
        </w:rPr>
        <w:t>» Проекта программы с целевыми показателями Проекта программы;</w:t>
      </w:r>
    </w:p>
    <w:p w:rsidR="00E147A6" w:rsidRPr="002346DE" w:rsidRDefault="00E147A6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B60330" w:rsidRPr="002346DE" w:rsidRDefault="00B60330" w:rsidP="006B04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DE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реализации»);</w:t>
      </w:r>
    </w:p>
    <w:p w:rsidR="00E147A6" w:rsidRPr="002346DE" w:rsidRDefault="00E147A6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2346DE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2346DE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E147A6" w:rsidRPr="002346DE" w:rsidRDefault="00E147A6" w:rsidP="006B0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администрации Ханты-Мансийского района от 07.09.2018 № 246  в части содержания заключения на Проект программы.</w:t>
      </w:r>
    </w:p>
    <w:p w:rsidR="00163144" w:rsidRPr="002346DE" w:rsidRDefault="00B3002E" w:rsidP="006B04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6DE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</w:t>
      </w:r>
      <w:r w:rsidRPr="00234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замечания и предложения к Проекту программы отсутствуют</w:t>
      </w:r>
      <w:r w:rsidRPr="002346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63144" w:rsidRPr="002346DE" w:rsidSect="009C1DA0">
      <w:footerReference w:type="default" r:id="rId12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F9" w:rsidRDefault="00C430F9" w:rsidP="00617B40">
      <w:pPr>
        <w:spacing w:after="0" w:line="240" w:lineRule="auto"/>
      </w:pPr>
      <w:r>
        <w:separator/>
      </w:r>
    </w:p>
  </w:endnote>
  <w:endnote w:type="continuationSeparator" w:id="0">
    <w:p w:rsidR="00C430F9" w:rsidRDefault="00C430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C430F9" w:rsidRDefault="00E714E9">
        <w:pPr>
          <w:pStyle w:val="a8"/>
          <w:jc w:val="right"/>
        </w:pPr>
        <w:r>
          <w:fldChar w:fldCharType="begin"/>
        </w:r>
        <w:r w:rsidR="00A9121E">
          <w:instrText>PAGE   \* MERGEFORMAT</w:instrText>
        </w:r>
        <w:r>
          <w:fldChar w:fldCharType="separate"/>
        </w:r>
        <w:r w:rsidR="00A93B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430F9" w:rsidRDefault="00C430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F9" w:rsidRDefault="00C430F9" w:rsidP="00617B40">
      <w:pPr>
        <w:spacing w:after="0" w:line="240" w:lineRule="auto"/>
      </w:pPr>
      <w:r>
        <w:separator/>
      </w:r>
    </w:p>
  </w:footnote>
  <w:footnote w:type="continuationSeparator" w:id="0">
    <w:p w:rsidR="00C430F9" w:rsidRDefault="00C430F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41CD"/>
    <w:rsid w:val="00015EBB"/>
    <w:rsid w:val="00020021"/>
    <w:rsid w:val="0002444E"/>
    <w:rsid w:val="000315CF"/>
    <w:rsid w:val="0004156C"/>
    <w:rsid w:val="00044CAA"/>
    <w:rsid w:val="00052A44"/>
    <w:rsid w:val="00053123"/>
    <w:rsid w:val="00054EE3"/>
    <w:rsid w:val="000553F6"/>
    <w:rsid w:val="000564E5"/>
    <w:rsid w:val="00056D56"/>
    <w:rsid w:val="00060F57"/>
    <w:rsid w:val="00066E1C"/>
    <w:rsid w:val="00070F1B"/>
    <w:rsid w:val="0007608B"/>
    <w:rsid w:val="00081087"/>
    <w:rsid w:val="0009485B"/>
    <w:rsid w:val="00094C89"/>
    <w:rsid w:val="00096EF1"/>
    <w:rsid w:val="000A1DBE"/>
    <w:rsid w:val="000A20DE"/>
    <w:rsid w:val="000B30E4"/>
    <w:rsid w:val="000B4C48"/>
    <w:rsid w:val="000B6BD3"/>
    <w:rsid w:val="000B72BE"/>
    <w:rsid w:val="000D0926"/>
    <w:rsid w:val="000D4CBD"/>
    <w:rsid w:val="000E2AD9"/>
    <w:rsid w:val="000E4D41"/>
    <w:rsid w:val="000F0375"/>
    <w:rsid w:val="000F242D"/>
    <w:rsid w:val="000F6976"/>
    <w:rsid w:val="000F7E82"/>
    <w:rsid w:val="0010564B"/>
    <w:rsid w:val="00113D3B"/>
    <w:rsid w:val="0011413A"/>
    <w:rsid w:val="0011447D"/>
    <w:rsid w:val="001168E4"/>
    <w:rsid w:val="00116CB6"/>
    <w:rsid w:val="0012388C"/>
    <w:rsid w:val="001274B8"/>
    <w:rsid w:val="00131F85"/>
    <w:rsid w:val="0013271E"/>
    <w:rsid w:val="00135264"/>
    <w:rsid w:val="00135C05"/>
    <w:rsid w:val="00147BA4"/>
    <w:rsid w:val="00150967"/>
    <w:rsid w:val="00162F46"/>
    <w:rsid w:val="00163144"/>
    <w:rsid w:val="00164A61"/>
    <w:rsid w:val="00167936"/>
    <w:rsid w:val="001707F7"/>
    <w:rsid w:val="00174226"/>
    <w:rsid w:val="001817CF"/>
    <w:rsid w:val="00182B80"/>
    <w:rsid w:val="001847D2"/>
    <w:rsid w:val="0018600B"/>
    <w:rsid w:val="00186A59"/>
    <w:rsid w:val="001A6074"/>
    <w:rsid w:val="001B0690"/>
    <w:rsid w:val="001B1271"/>
    <w:rsid w:val="001B3DB2"/>
    <w:rsid w:val="001B4A77"/>
    <w:rsid w:val="001B561A"/>
    <w:rsid w:val="001C5C3F"/>
    <w:rsid w:val="001C794D"/>
    <w:rsid w:val="00210DBB"/>
    <w:rsid w:val="002122D2"/>
    <w:rsid w:val="00214B82"/>
    <w:rsid w:val="0021693B"/>
    <w:rsid w:val="00225C7D"/>
    <w:rsid w:val="00226847"/>
    <w:rsid w:val="002300FD"/>
    <w:rsid w:val="00234040"/>
    <w:rsid w:val="002346DE"/>
    <w:rsid w:val="0023583A"/>
    <w:rsid w:val="00251266"/>
    <w:rsid w:val="002529F0"/>
    <w:rsid w:val="002546B7"/>
    <w:rsid w:val="00256385"/>
    <w:rsid w:val="00261D49"/>
    <w:rsid w:val="00265D1E"/>
    <w:rsid w:val="002826C8"/>
    <w:rsid w:val="00287B4C"/>
    <w:rsid w:val="002940EC"/>
    <w:rsid w:val="00297A80"/>
    <w:rsid w:val="002A0735"/>
    <w:rsid w:val="002A15EA"/>
    <w:rsid w:val="002A66AF"/>
    <w:rsid w:val="002A75A0"/>
    <w:rsid w:val="002B535F"/>
    <w:rsid w:val="002C4E2C"/>
    <w:rsid w:val="002D0994"/>
    <w:rsid w:val="002E23D2"/>
    <w:rsid w:val="003009F9"/>
    <w:rsid w:val="00301280"/>
    <w:rsid w:val="00310695"/>
    <w:rsid w:val="00315E8F"/>
    <w:rsid w:val="00324101"/>
    <w:rsid w:val="003250F7"/>
    <w:rsid w:val="003329CF"/>
    <w:rsid w:val="003433E9"/>
    <w:rsid w:val="00343BF0"/>
    <w:rsid w:val="00343FF5"/>
    <w:rsid w:val="00346B1C"/>
    <w:rsid w:val="00351086"/>
    <w:rsid w:val="00351C51"/>
    <w:rsid w:val="003624D8"/>
    <w:rsid w:val="00366FFE"/>
    <w:rsid w:val="0037295E"/>
    <w:rsid w:val="00380D56"/>
    <w:rsid w:val="00393A0E"/>
    <w:rsid w:val="00393DAD"/>
    <w:rsid w:val="003978A1"/>
    <w:rsid w:val="00397EFC"/>
    <w:rsid w:val="003B279E"/>
    <w:rsid w:val="003B557A"/>
    <w:rsid w:val="003C45A1"/>
    <w:rsid w:val="003C51E6"/>
    <w:rsid w:val="003C5F52"/>
    <w:rsid w:val="003D2E70"/>
    <w:rsid w:val="003D343E"/>
    <w:rsid w:val="003F2294"/>
    <w:rsid w:val="003F2416"/>
    <w:rsid w:val="003F3603"/>
    <w:rsid w:val="003F5BDA"/>
    <w:rsid w:val="00404BE7"/>
    <w:rsid w:val="004075A2"/>
    <w:rsid w:val="004116DD"/>
    <w:rsid w:val="00417101"/>
    <w:rsid w:val="0042006C"/>
    <w:rsid w:val="00422070"/>
    <w:rsid w:val="004250F0"/>
    <w:rsid w:val="00431272"/>
    <w:rsid w:val="00431BA5"/>
    <w:rsid w:val="004333EE"/>
    <w:rsid w:val="00433AC5"/>
    <w:rsid w:val="0044500A"/>
    <w:rsid w:val="0045516C"/>
    <w:rsid w:val="00456266"/>
    <w:rsid w:val="00464B3F"/>
    <w:rsid w:val="00465FC6"/>
    <w:rsid w:val="004961BA"/>
    <w:rsid w:val="004B28BF"/>
    <w:rsid w:val="004B2EC8"/>
    <w:rsid w:val="004B33E0"/>
    <w:rsid w:val="004B4642"/>
    <w:rsid w:val="004C069C"/>
    <w:rsid w:val="004C42F3"/>
    <w:rsid w:val="004C705B"/>
    <w:rsid w:val="004C7125"/>
    <w:rsid w:val="004D3C75"/>
    <w:rsid w:val="004F72DA"/>
    <w:rsid w:val="004F7CDE"/>
    <w:rsid w:val="0050114D"/>
    <w:rsid w:val="005028AA"/>
    <w:rsid w:val="00514E41"/>
    <w:rsid w:val="00522E4B"/>
    <w:rsid w:val="00532CA8"/>
    <w:rsid w:val="005439BD"/>
    <w:rsid w:val="00546FCE"/>
    <w:rsid w:val="005533ED"/>
    <w:rsid w:val="0056578B"/>
    <w:rsid w:val="0056694C"/>
    <w:rsid w:val="00571958"/>
    <w:rsid w:val="00572453"/>
    <w:rsid w:val="00572C8A"/>
    <w:rsid w:val="0059744E"/>
    <w:rsid w:val="005A66B0"/>
    <w:rsid w:val="005B14F9"/>
    <w:rsid w:val="005B2273"/>
    <w:rsid w:val="005B2935"/>
    <w:rsid w:val="005B4745"/>
    <w:rsid w:val="005B7083"/>
    <w:rsid w:val="005C0A3B"/>
    <w:rsid w:val="005C11A7"/>
    <w:rsid w:val="005C6889"/>
    <w:rsid w:val="005C693B"/>
    <w:rsid w:val="005C7EF9"/>
    <w:rsid w:val="005D4A34"/>
    <w:rsid w:val="005D655D"/>
    <w:rsid w:val="005D687C"/>
    <w:rsid w:val="005D6FD6"/>
    <w:rsid w:val="005E3F4D"/>
    <w:rsid w:val="005E69C9"/>
    <w:rsid w:val="005F0864"/>
    <w:rsid w:val="005F3844"/>
    <w:rsid w:val="0060297B"/>
    <w:rsid w:val="00611433"/>
    <w:rsid w:val="006129F6"/>
    <w:rsid w:val="00616C7D"/>
    <w:rsid w:val="00617B40"/>
    <w:rsid w:val="0062166C"/>
    <w:rsid w:val="00623C81"/>
    <w:rsid w:val="00624276"/>
    <w:rsid w:val="00626321"/>
    <w:rsid w:val="00626796"/>
    <w:rsid w:val="0063436C"/>
    <w:rsid w:val="00636F28"/>
    <w:rsid w:val="00642589"/>
    <w:rsid w:val="00642D19"/>
    <w:rsid w:val="00650379"/>
    <w:rsid w:val="0065291B"/>
    <w:rsid w:val="00654400"/>
    <w:rsid w:val="00655734"/>
    <w:rsid w:val="006615CF"/>
    <w:rsid w:val="00661C40"/>
    <w:rsid w:val="006628B8"/>
    <w:rsid w:val="006722F9"/>
    <w:rsid w:val="00681141"/>
    <w:rsid w:val="006816CF"/>
    <w:rsid w:val="00692D84"/>
    <w:rsid w:val="00693621"/>
    <w:rsid w:val="0069578F"/>
    <w:rsid w:val="006A0C40"/>
    <w:rsid w:val="006A1FBE"/>
    <w:rsid w:val="006A5B30"/>
    <w:rsid w:val="006A7184"/>
    <w:rsid w:val="006A7CBA"/>
    <w:rsid w:val="006B03B1"/>
    <w:rsid w:val="006B04A6"/>
    <w:rsid w:val="006B0BAF"/>
    <w:rsid w:val="006B1282"/>
    <w:rsid w:val="006B788F"/>
    <w:rsid w:val="006C00BE"/>
    <w:rsid w:val="006C0D41"/>
    <w:rsid w:val="006C37AF"/>
    <w:rsid w:val="006C6EC8"/>
    <w:rsid w:val="006C77B8"/>
    <w:rsid w:val="006D1286"/>
    <w:rsid w:val="006D18AE"/>
    <w:rsid w:val="006D2F56"/>
    <w:rsid w:val="006D4647"/>
    <w:rsid w:val="006D495B"/>
    <w:rsid w:val="006E3688"/>
    <w:rsid w:val="006E38CA"/>
    <w:rsid w:val="006F6BAF"/>
    <w:rsid w:val="007006B2"/>
    <w:rsid w:val="00704CD1"/>
    <w:rsid w:val="007115DC"/>
    <w:rsid w:val="00713DE7"/>
    <w:rsid w:val="00714380"/>
    <w:rsid w:val="00715D5D"/>
    <w:rsid w:val="007178EE"/>
    <w:rsid w:val="00717A21"/>
    <w:rsid w:val="00720648"/>
    <w:rsid w:val="007343BF"/>
    <w:rsid w:val="0073460B"/>
    <w:rsid w:val="007346B4"/>
    <w:rsid w:val="00747382"/>
    <w:rsid w:val="00772205"/>
    <w:rsid w:val="00772A4A"/>
    <w:rsid w:val="00772B24"/>
    <w:rsid w:val="0077481C"/>
    <w:rsid w:val="007765F1"/>
    <w:rsid w:val="00777A42"/>
    <w:rsid w:val="007A0722"/>
    <w:rsid w:val="007A0CFB"/>
    <w:rsid w:val="007A47F0"/>
    <w:rsid w:val="007A7FB5"/>
    <w:rsid w:val="007B0EBB"/>
    <w:rsid w:val="007B4FC0"/>
    <w:rsid w:val="007C5828"/>
    <w:rsid w:val="007C7455"/>
    <w:rsid w:val="007E358D"/>
    <w:rsid w:val="007E3FF0"/>
    <w:rsid w:val="007E49D5"/>
    <w:rsid w:val="007E600F"/>
    <w:rsid w:val="007F5CD7"/>
    <w:rsid w:val="007F6C83"/>
    <w:rsid w:val="00805A4C"/>
    <w:rsid w:val="00813A41"/>
    <w:rsid w:val="00822F9D"/>
    <w:rsid w:val="00823E6B"/>
    <w:rsid w:val="00827A88"/>
    <w:rsid w:val="008303D3"/>
    <w:rsid w:val="00837945"/>
    <w:rsid w:val="00844FC1"/>
    <w:rsid w:val="008459BB"/>
    <w:rsid w:val="008468B0"/>
    <w:rsid w:val="00852BFD"/>
    <w:rsid w:val="008554E5"/>
    <w:rsid w:val="00855629"/>
    <w:rsid w:val="00856612"/>
    <w:rsid w:val="00876F81"/>
    <w:rsid w:val="00886731"/>
    <w:rsid w:val="00887852"/>
    <w:rsid w:val="00887D9D"/>
    <w:rsid w:val="00891079"/>
    <w:rsid w:val="00894626"/>
    <w:rsid w:val="00897CB6"/>
    <w:rsid w:val="008A0E05"/>
    <w:rsid w:val="008A18BE"/>
    <w:rsid w:val="008A24B8"/>
    <w:rsid w:val="008C2628"/>
    <w:rsid w:val="008C2ACB"/>
    <w:rsid w:val="008C2E77"/>
    <w:rsid w:val="008C70C1"/>
    <w:rsid w:val="008C7B1D"/>
    <w:rsid w:val="008D5EDD"/>
    <w:rsid w:val="008D6252"/>
    <w:rsid w:val="008E4021"/>
    <w:rsid w:val="008E4601"/>
    <w:rsid w:val="008E5883"/>
    <w:rsid w:val="00901B9B"/>
    <w:rsid w:val="00903CF1"/>
    <w:rsid w:val="00905805"/>
    <w:rsid w:val="00907015"/>
    <w:rsid w:val="00915DB8"/>
    <w:rsid w:val="00927695"/>
    <w:rsid w:val="00933810"/>
    <w:rsid w:val="00942FBD"/>
    <w:rsid w:val="00944127"/>
    <w:rsid w:val="00947B42"/>
    <w:rsid w:val="009515B6"/>
    <w:rsid w:val="00953649"/>
    <w:rsid w:val="0095631C"/>
    <w:rsid w:val="00957F10"/>
    <w:rsid w:val="00962B7D"/>
    <w:rsid w:val="0096338B"/>
    <w:rsid w:val="009917B5"/>
    <w:rsid w:val="0099182B"/>
    <w:rsid w:val="00996C8E"/>
    <w:rsid w:val="009A231B"/>
    <w:rsid w:val="009A6C9E"/>
    <w:rsid w:val="009C0855"/>
    <w:rsid w:val="009C1751"/>
    <w:rsid w:val="009C1DA0"/>
    <w:rsid w:val="009F6EC2"/>
    <w:rsid w:val="00A14960"/>
    <w:rsid w:val="00A15F4A"/>
    <w:rsid w:val="00A22B10"/>
    <w:rsid w:val="00A22E29"/>
    <w:rsid w:val="00A2709D"/>
    <w:rsid w:val="00A303E4"/>
    <w:rsid w:val="00A33D50"/>
    <w:rsid w:val="00A36C52"/>
    <w:rsid w:val="00A40D28"/>
    <w:rsid w:val="00A41C42"/>
    <w:rsid w:val="00A4386C"/>
    <w:rsid w:val="00A60A71"/>
    <w:rsid w:val="00A65CA4"/>
    <w:rsid w:val="00A72F57"/>
    <w:rsid w:val="00A73F1A"/>
    <w:rsid w:val="00A74D5D"/>
    <w:rsid w:val="00A75851"/>
    <w:rsid w:val="00A84077"/>
    <w:rsid w:val="00A9121E"/>
    <w:rsid w:val="00A92837"/>
    <w:rsid w:val="00A93B22"/>
    <w:rsid w:val="00AB20C0"/>
    <w:rsid w:val="00AC16A7"/>
    <w:rsid w:val="00AC194A"/>
    <w:rsid w:val="00AD697A"/>
    <w:rsid w:val="00AE7E92"/>
    <w:rsid w:val="00AF1991"/>
    <w:rsid w:val="00B0009B"/>
    <w:rsid w:val="00B03656"/>
    <w:rsid w:val="00B048B8"/>
    <w:rsid w:val="00B06BCD"/>
    <w:rsid w:val="00B17E67"/>
    <w:rsid w:val="00B2079F"/>
    <w:rsid w:val="00B2259C"/>
    <w:rsid w:val="00B230DD"/>
    <w:rsid w:val="00B3002E"/>
    <w:rsid w:val="00B45166"/>
    <w:rsid w:val="00B45F61"/>
    <w:rsid w:val="00B46C70"/>
    <w:rsid w:val="00B470BC"/>
    <w:rsid w:val="00B53A62"/>
    <w:rsid w:val="00B60330"/>
    <w:rsid w:val="00B61159"/>
    <w:rsid w:val="00B626AF"/>
    <w:rsid w:val="00B6303B"/>
    <w:rsid w:val="00B664FA"/>
    <w:rsid w:val="00B66E56"/>
    <w:rsid w:val="00B66FA5"/>
    <w:rsid w:val="00B72598"/>
    <w:rsid w:val="00B72A42"/>
    <w:rsid w:val="00B73BE4"/>
    <w:rsid w:val="00B76CD1"/>
    <w:rsid w:val="00B81A2D"/>
    <w:rsid w:val="00B9260F"/>
    <w:rsid w:val="00B94AD6"/>
    <w:rsid w:val="00B95252"/>
    <w:rsid w:val="00BB611F"/>
    <w:rsid w:val="00BB6639"/>
    <w:rsid w:val="00BE1E0E"/>
    <w:rsid w:val="00BE2AF4"/>
    <w:rsid w:val="00BE31C6"/>
    <w:rsid w:val="00BF0E38"/>
    <w:rsid w:val="00BF0F20"/>
    <w:rsid w:val="00BF1695"/>
    <w:rsid w:val="00BF262A"/>
    <w:rsid w:val="00C002B4"/>
    <w:rsid w:val="00C02A89"/>
    <w:rsid w:val="00C06923"/>
    <w:rsid w:val="00C16253"/>
    <w:rsid w:val="00C21D1F"/>
    <w:rsid w:val="00C239F1"/>
    <w:rsid w:val="00C35102"/>
    <w:rsid w:val="00C36354"/>
    <w:rsid w:val="00C36F0C"/>
    <w:rsid w:val="00C36F5A"/>
    <w:rsid w:val="00C4059C"/>
    <w:rsid w:val="00C40EA2"/>
    <w:rsid w:val="00C430F9"/>
    <w:rsid w:val="00C51F70"/>
    <w:rsid w:val="00C529B3"/>
    <w:rsid w:val="00C60FBD"/>
    <w:rsid w:val="00C7412C"/>
    <w:rsid w:val="00C762AD"/>
    <w:rsid w:val="00C76DEE"/>
    <w:rsid w:val="00C92805"/>
    <w:rsid w:val="00C9343D"/>
    <w:rsid w:val="00CA7141"/>
    <w:rsid w:val="00CA7175"/>
    <w:rsid w:val="00CB33E0"/>
    <w:rsid w:val="00CC7C2A"/>
    <w:rsid w:val="00CD5FAA"/>
    <w:rsid w:val="00CE3F93"/>
    <w:rsid w:val="00CE5025"/>
    <w:rsid w:val="00CF3794"/>
    <w:rsid w:val="00CF44D0"/>
    <w:rsid w:val="00CF744D"/>
    <w:rsid w:val="00D007DF"/>
    <w:rsid w:val="00D00EE2"/>
    <w:rsid w:val="00D038BC"/>
    <w:rsid w:val="00D03ACF"/>
    <w:rsid w:val="00D13EB4"/>
    <w:rsid w:val="00D155CC"/>
    <w:rsid w:val="00D169FF"/>
    <w:rsid w:val="00D20948"/>
    <w:rsid w:val="00D20B8E"/>
    <w:rsid w:val="00D213D8"/>
    <w:rsid w:val="00D23233"/>
    <w:rsid w:val="00D26095"/>
    <w:rsid w:val="00D31487"/>
    <w:rsid w:val="00D32710"/>
    <w:rsid w:val="00D43162"/>
    <w:rsid w:val="00D446C3"/>
    <w:rsid w:val="00D45ADF"/>
    <w:rsid w:val="00D4701F"/>
    <w:rsid w:val="00D53054"/>
    <w:rsid w:val="00D574A5"/>
    <w:rsid w:val="00D61461"/>
    <w:rsid w:val="00D64FB3"/>
    <w:rsid w:val="00D716A3"/>
    <w:rsid w:val="00D76752"/>
    <w:rsid w:val="00D768D7"/>
    <w:rsid w:val="00D8061E"/>
    <w:rsid w:val="00D91BD2"/>
    <w:rsid w:val="00D939B7"/>
    <w:rsid w:val="00DA4961"/>
    <w:rsid w:val="00DA5240"/>
    <w:rsid w:val="00DB032D"/>
    <w:rsid w:val="00DC0388"/>
    <w:rsid w:val="00DC1837"/>
    <w:rsid w:val="00DC400B"/>
    <w:rsid w:val="00DD0F33"/>
    <w:rsid w:val="00DD27B6"/>
    <w:rsid w:val="00DD27FA"/>
    <w:rsid w:val="00DD49BD"/>
    <w:rsid w:val="00DD60FF"/>
    <w:rsid w:val="00DE12FA"/>
    <w:rsid w:val="00E020E1"/>
    <w:rsid w:val="00E024DC"/>
    <w:rsid w:val="00E05238"/>
    <w:rsid w:val="00E05262"/>
    <w:rsid w:val="00E147A6"/>
    <w:rsid w:val="00E14BEE"/>
    <w:rsid w:val="00E26486"/>
    <w:rsid w:val="00E319C9"/>
    <w:rsid w:val="00E335B3"/>
    <w:rsid w:val="00E35131"/>
    <w:rsid w:val="00E428B8"/>
    <w:rsid w:val="00E44BF0"/>
    <w:rsid w:val="00E47443"/>
    <w:rsid w:val="00E508F8"/>
    <w:rsid w:val="00E516F7"/>
    <w:rsid w:val="00E52D09"/>
    <w:rsid w:val="00E54C80"/>
    <w:rsid w:val="00E55838"/>
    <w:rsid w:val="00E624C3"/>
    <w:rsid w:val="00E66E1C"/>
    <w:rsid w:val="00E714E9"/>
    <w:rsid w:val="00E71A48"/>
    <w:rsid w:val="00E859BD"/>
    <w:rsid w:val="00E93D5B"/>
    <w:rsid w:val="00E94931"/>
    <w:rsid w:val="00E9504B"/>
    <w:rsid w:val="00E97880"/>
    <w:rsid w:val="00EA36BD"/>
    <w:rsid w:val="00EA6563"/>
    <w:rsid w:val="00EB71F9"/>
    <w:rsid w:val="00EB7388"/>
    <w:rsid w:val="00ED01A2"/>
    <w:rsid w:val="00ED123C"/>
    <w:rsid w:val="00EF0167"/>
    <w:rsid w:val="00EF214F"/>
    <w:rsid w:val="00EF2C70"/>
    <w:rsid w:val="00EF6499"/>
    <w:rsid w:val="00F114E8"/>
    <w:rsid w:val="00F1229E"/>
    <w:rsid w:val="00F12ADC"/>
    <w:rsid w:val="00F13481"/>
    <w:rsid w:val="00F155DA"/>
    <w:rsid w:val="00F23DB3"/>
    <w:rsid w:val="00F262C9"/>
    <w:rsid w:val="00F27B64"/>
    <w:rsid w:val="00F34D87"/>
    <w:rsid w:val="00F3525D"/>
    <w:rsid w:val="00F449DF"/>
    <w:rsid w:val="00F52C64"/>
    <w:rsid w:val="00F54F00"/>
    <w:rsid w:val="00F55E37"/>
    <w:rsid w:val="00F60096"/>
    <w:rsid w:val="00F64E07"/>
    <w:rsid w:val="00F71034"/>
    <w:rsid w:val="00F716F6"/>
    <w:rsid w:val="00F765C7"/>
    <w:rsid w:val="00F77629"/>
    <w:rsid w:val="00F86F0E"/>
    <w:rsid w:val="00F91FA3"/>
    <w:rsid w:val="00F9765C"/>
    <w:rsid w:val="00FA4CF5"/>
    <w:rsid w:val="00FB7756"/>
    <w:rsid w:val="00FC0248"/>
    <w:rsid w:val="00FC0EF8"/>
    <w:rsid w:val="00FC3FBE"/>
    <w:rsid w:val="00FC6A88"/>
    <w:rsid w:val="00FC6E42"/>
    <w:rsid w:val="00FE367D"/>
    <w:rsid w:val="00FE71F9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F0E3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F0E3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1168E4"/>
  </w:style>
  <w:style w:type="character" w:customStyle="1" w:styleId="30">
    <w:name w:val="Заголовок 3 Знак"/>
    <w:basedOn w:val="a0"/>
    <w:link w:val="3"/>
    <w:uiPriority w:val="9"/>
    <w:semiHidden/>
    <w:rsid w:val="00DC18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unhideWhenUsed/>
    <w:rsid w:val="00D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1344-0654-4B7E-BBAB-636F153B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2020-12-04T10:17:00Z</dcterms:modified>
</cp:coreProperties>
</file>